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1FA" w:rsidRPr="003461FA" w:rsidRDefault="003461FA" w:rsidP="003461FA">
      <w:pPr>
        <w:keepNext/>
        <w:keepLines/>
        <w:spacing w:after="0" w:line="240" w:lineRule="auto"/>
        <w:jc w:val="center"/>
        <w:outlineLvl w:val="0"/>
        <w:rPr>
          <w:rFonts w:asciiTheme="majorHAnsi" w:eastAsiaTheme="majorEastAsia" w:hAnsiTheme="majorHAnsi" w:cstheme="majorBidi"/>
          <w:color w:val="2E74B5" w:themeColor="accent1" w:themeShade="BF"/>
          <w:sz w:val="32"/>
          <w:szCs w:val="32"/>
        </w:rPr>
      </w:pPr>
      <w:r w:rsidRPr="003461FA">
        <w:rPr>
          <w:rFonts w:asciiTheme="majorHAnsi" w:eastAsiaTheme="majorEastAsia" w:hAnsiTheme="majorHAnsi" w:cstheme="majorBidi"/>
          <w:color w:val="2E74B5" w:themeColor="accent1" w:themeShade="BF"/>
          <w:sz w:val="32"/>
          <w:szCs w:val="32"/>
        </w:rPr>
        <w:t xml:space="preserve">Der Einsatz des Lehrwerkes </w:t>
      </w:r>
      <w:r w:rsidRPr="003461FA">
        <w:rPr>
          <w:rFonts w:asciiTheme="majorHAnsi" w:eastAsiaTheme="majorEastAsia" w:hAnsiTheme="majorHAnsi" w:cstheme="majorBidi"/>
          <w:i/>
          <w:color w:val="2E74B5" w:themeColor="accent1" w:themeShade="BF"/>
          <w:sz w:val="32"/>
          <w:szCs w:val="32"/>
        </w:rPr>
        <w:t xml:space="preserve">¡Arriba! </w:t>
      </w:r>
      <w:proofErr w:type="spellStart"/>
      <w:r w:rsidRPr="003461FA">
        <w:rPr>
          <w:rFonts w:asciiTheme="majorHAnsi" w:eastAsiaTheme="majorEastAsia" w:hAnsiTheme="majorHAnsi" w:cstheme="majorBidi"/>
          <w:i/>
          <w:color w:val="2E74B5" w:themeColor="accent1" w:themeShade="BF"/>
          <w:sz w:val="32"/>
          <w:szCs w:val="32"/>
        </w:rPr>
        <w:t>Nuevos</w:t>
      </w:r>
      <w:proofErr w:type="spellEnd"/>
      <w:r w:rsidRPr="003461FA">
        <w:rPr>
          <w:rFonts w:asciiTheme="majorHAnsi" w:eastAsiaTheme="majorEastAsia" w:hAnsiTheme="majorHAnsi" w:cstheme="majorBidi"/>
          <w:i/>
          <w:color w:val="2E74B5" w:themeColor="accent1" w:themeShade="BF"/>
          <w:sz w:val="32"/>
          <w:szCs w:val="32"/>
        </w:rPr>
        <w:t xml:space="preserve"> </w:t>
      </w:r>
      <w:proofErr w:type="spellStart"/>
      <w:r w:rsidRPr="003461FA">
        <w:rPr>
          <w:rFonts w:asciiTheme="majorHAnsi" w:eastAsiaTheme="majorEastAsia" w:hAnsiTheme="majorHAnsi" w:cstheme="majorBidi"/>
          <w:i/>
          <w:color w:val="2E74B5" w:themeColor="accent1" w:themeShade="BF"/>
          <w:sz w:val="32"/>
          <w:szCs w:val="32"/>
        </w:rPr>
        <w:t>enfoques</w:t>
      </w:r>
      <w:proofErr w:type="spellEnd"/>
      <w:r w:rsidRPr="003461FA">
        <w:rPr>
          <w:rFonts w:asciiTheme="majorHAnsi" w:eastAsiaTheme="majorEastAsia" w:hAnsiTheme="majorHAnsi" w:cstheme="majorBidi"/>
          <w:i/>
          <w:color w:val="2E74B5" w:themeColor="accent1" w:themeShade="BF"/>
          <w:sz w:val="32"/>
          <w:szCs w:val="32"/>
        </w:rPr>
        <w:t xml:space="preserve"> </w:t>
      </w:r>
      <w:proofErr w:type="spellStart"/>
      <w:r w:rsidRPr="003461FA">
        <w:rPr>
          <w:rFonts w:asciiTheme="majorHAnsi" w:eastAsiaTheme="majorEastAsia" w:hAnsiTheme="majorHAnsi" w:cstheme="majorBidi"/>
          <w:i/>
          <w:color w:val="2E74B5" w:themeColor="accent1" w:themeShade="BF"/>
          <w:sz w:val="32"/>
          <w:szCs w:val="32"/>
        </w:rPr>
        <w:t>para</w:t>
      </w:r>
      <w:proofErr w:type="spellEnd"/>
      <w:r w:rsidRPr="003461FA">
        <w:rPr>
          <w:rFonts w:asciiTheme="majorHAnsi" w:eastAsiaTheme="majorEastAsia" w:hAnsiTheme="majorHAnsi" w:cstheme="majorBidi"/>
          <w:i/>
          <w:color w:val="2E74B5" w:themeColor="accent1" w:themeShade="BF"/>
          <w:sz w:val="32"/>
          <w:szCs w:val="32"/>
        </w:rPr>
        <w:t xml:space="preserve"> </w:t>
      </w:r>
      <w:proofErr w:type="spellStart"/>
      <w:r w:rsidRPr="003461FA">
        <w:rPr>
          <w:rFonts w:asciiTheme="majorHAnsi" w:eastAsiaTheme="majorEastAsia" w:hAnsiTheme="majorHAnsi" w:cstheme="majorBidi"/>
          <w:i/>
          <w:color w:val="2E74B5" w:themeColor="accent1" w:themeShade="BF"/>
          <w:sz w:val="32"/>
          <w:szCs w:val="32"/>
        </w:rPr>
        <w:t>ti</w:t>
      </w:r>
      <w:proofErr w:type="spellEnd"/>
      <w:r w:rsidRPr="003461FA">
        <w:rPr>
          <w:rFonts w:asciiTheme="majorHAnsi" w:eastAsiaTheme="majorEastAsia" w:hAnsiTheme="majorHAnsi" w:cstheme="majorBidi"/>
          <w:color w:val="2E74B5" w:themeColor="accent1" w:themeShade="BF"/>
          <w:sz w:val="32"/>
          <w:szCs w:val="32"/>
        </w:rPr>
        <w:t xml:space="preserve"> </w:t>
      </w:r>
    </w:p>
    <w:p w:rsidR="003461FA" w:rsidRPr="003461FA" w:rsidRDefault="003461FA" w:rsidP="003461FA">
      <w:pPr>
        <w:keepNext/>
        <w:keepLines/>
        <w:spacing w:after="0" w:line="240" w:lineRule="auto"/>
        <w:jc w:val="center"/>
        <w:outlineLvl w:val="0"/>
        <w:rPr>
          <w:rFonts w:asciiTheme="majorHAnsi" w:eastAsiaTheme="majorEastAsia" w:hAnsiTheme="majorHAnsi" w:cstheme="majorBidi"/>
          <w:color w:val="2E74B5" w:themeColor="accent1" w:themeShade="BF"/>
          <w:sz w:val="32"/>
          <w:szCs w:val="32"/>
        </w:rPr>
      </w:pPr>
      <w:r w:rsidRPr="003461FA">
        <w:rPr>
          <w:rFonts w:asciiTheme="majorHAnsi" w:eastAsiaTheme="majorEastAsia" w:hAnsiTheme="majorHAnsi" w:cstheme="majorBidi"/>
          <w:color w:val="2E74B5" w:themeColor="accent1" w:themeShade="BF"/>
          <w:sz w:val="32"/>
          <w:szCs w:val="32"/>
        </w:rPr>
        <w:t>in der Praxis</w:t>
      </w:r>
    </w:p>
    <w:p w:rsidR="003461FA" w:rsidRPr="003461FA" w:rsidRDefault="003461FA" w:rsidP="003461FA">
      <w:pPr>
        <w:rPr>
          <w:sz w:val="16"/>
          <w:szCs w:val="16"/>
        </w:rPr>
      </w:pPr>
    </w:p>
    <w:p w:rsidR="003461FA" w:rsidRPr="003461FA" w:rsidRDefault="003461FA" w:rsidP="003461FA">
      <w:r w:rsidRPr="003461FA">
        <w:rPr>
          <w:i/>
        </w:rPr>
        <w:t>¡Arriba!</w:t>
      </w:r>
      <w:r w:rsidRPr="003461FA">
        <w:t xml:space="preserve"> </w:t>
      </w:r>
      <w:proofErr w:type="gramStart"/>
      <w:r w:rsidRPr="003461FA">
        <w:t>ist</w:t>
      </w:r>
      <w:proofErr w:type="gramEnd"/>
      <w:r w:rsidRPr="003461FA">
        <w:t xml:space="preserve"> in G8 und G9 einsetzbar. Vom Kontext und der Auswahl der Protagonisten her wurde bewusst darauf geachtet, sowohl die Lebenswelt von Sechst- als auch Siebtklässlern zu berücksichtigen.</w:t>
      </w:r>
    </w:p>
    <w:p w:rsidR="003461FA" w:rsidRPr="003461FA" w:rsidRDefault="003461FA" w:rsidP="003461FA">
      <w:r w:rsidRPr="003461FA">
        <w:t xml:space="preserve">Es wird vier Bände geben, die die Schüler zum Niveau B1 führen. Der letzte Band bietet mit fortschreitender Progression zunehmend </w:t>
      </w:r>
      <w:proofErr w:type="spellStart"/>
      <w:r w:rsidRPr="003461FA">
        <w:t>oberstufengerichtete</w:t>
      </w:r>
      <w:proofErr w:type="spellEnd"/>
      <w:r w:rsidRPr="003461FA">
        <w:t xml:space="preserve"> Methoden und Aufgaben an, die für die Schüler, die sich dann erst im vierten </w:t>
      </w:r>
      <w:proofErr w:type="spellStart"/>
      <w:r w:rsidRPr="003461FA">
        <w:t>Lernjahr</w:t>
      </w:r>
      <w:proofErr w:type="spellEnd"/>
      <w:r w:rsidRPr="003461FA">
        <w:t xml:space="preserve"> befinden und ein weiteres Jahr vor dem Beginn der Oberstufe vor sich haben, mit Hilfen und zusätzlicher Unterstützung versehen sein werden. </w:t>
      </w:r>
    </w:p>
    <w:p w:rsidR="003461FA" w:rsidRPr="003461FA" w:rsidRDefault="003461FA" w:rsidP="003461FA">
      <w:r w:rsidRPr="003461FA">
        <w:t xml:space="preserve">Es gibt zahlreiche Möglichkeiten zur Straffung und zur Anpassung an die Lerngruppe: der enthaltene Binnendifferenzierungsteil bietet Möglichkeiten zur Vereinfachung vieler Übungen, zahlreiche fakultative Inhalte können problemlos gekürzt werden (z.B. sind fakultativ in Band 1: die spielerischen/kreativen </w:t>
      </w:r>
      <w:proofErr w:type="spellStart"/>
      <w:r w:rsidRPr="003461FA">
        <w:t>caramelo</w:t>
      </w:r>
      <w:proofErr w:type="spellEnd"/>
      <w:r w:rsidRPr="003461FA">
        <w:t xml:space="preserve">-Aufgaben, die </w:t>
      </w:r>
      <w:proofErr w:type="spellStart"/>
      <w:r w:rsidRPr="003461FA">
        <w:t>postales</w:t>
      </w:r>
      <w:proofErr w:type="spellEnd"/>
      <w:r w:rsidRPr="003461FA">
        <w:t xml:space="preserve"> mit landeskundlichen Inhalten, die Blogs, +</w:t>
      </w:r>
      <w:proofErr w:type="spellStart"/>
      <w:r w:rsidRPr="003461FA">
        <w:t>ideas</w:t>
      </w:r>
      <w:proofErr w:type="spellEnd"/>
      <w:r w:rsidRPr="003461FA">
        <w:t xml:space="preserve">-Aufgaben, optionale Inhalte in Kapitel 8, das gesamte Kapitel 9). Im Vokabelteil wird unterschieden zwischen Lern- und </w:t>
      </w:r>
      <w:proofErr w:type="spellStart"/>
      <w:r w:rsidRPr="003461FA">
        <w:t>Verstehenswortschatz</w:t>
      </w:r>
      <w:proofErr w:type="spellEnd"/>
      <w:r w:rsidRPr="003461FA">
        <w:t xml:space="preserve">, letzterer wird nur für das Verständnis der Aufgaben benötigt und künftig nicht als bekannt vorausgesetzt. Da die Folgebände kürzer sind (Band 2: 7 Kapitel (ein halbes davon fakultativ), Band 3: sechs Kapitel, Band 4: fünf Kapitel), können auch Teile in das zweite Schuljahr gezogen werden. Statt einer Straffung können die genannten Elemente auch umgekehrt als zusätzliche Angebote herangezogen werden, um fünf Lernjahre abzudecken und die einzelnen Bände auf jeweils mehr als ein </w:t>
      </w:r>
      <w:proofErr w:type="spellStart"/>
      <w:r w:rsidRPr="003461FA">
        <w:t>Lernjahr</w:t>
      </w:r>
      <w:proofErr w:type="spellEnd"/>
      <w:r w:rsidRPr="003461FA">
        <w:t xml:space="preserve"> zu strecken. Außerdem können diese fakultativen Angebote ohne </w:t>
      </w:r>
      <w:proofErr w:type="gramStart"/>
      <w:r w:rsidRPr="003461FA">
        <w:t>Weiteres</w:t>
      </w:r>
      <w:proofErr w:type="gramEnd"/>
      <w:r w:rsidRPr="003461FA">
        <w:t xml:space="preserve"> zugunsten einer projektartigen Unterrichtssequenz (Lektüre, Filmarbeit,...) wegfallen.</w:t>
      </w:r>
    </w:p>
    <w:p w:rsidR="003461FA" w:rsidRPr="003461FA" w:rsidRDefault="003461FA" w:rsidP="003461FA">
      <w:r w:rsidRPr="003461FA">
        <w:t>Der ideale Übergang in die Oberstufe wird mit unserem Oberstufen-Lese- und Arbeitsbuch „</w:t>
      </w:r>
      <w:proofErr w:type="spellStart"/>
      <w:r w:rsidRPr="003461FA">
        <w:t>Enfoques</w:t>
      </w:r>
      <w:proofErr w:type="spellEnd"/>
      <w:r w:rsidRPr="003461FA">
        <w:t xml:space="preserve"> al </w:t>
      </w:r>
      <w:proofErr w:type="spellStart"/>
      <w:r w:rsidRPr="003461FA">
        <w:t>mundo</w:t>
      </w:r>
      <w:proofErr w:type="spellEnd"/>
      <w:r w:rsidRPr="003461FA">
        <w:t xml:space="preserve"> </w:t>
      </w:r>
      <w:proofErr w:type="spellStart"/>
      <w:r w:rsidRPr="003461FA">
        <w:t>hispánico</w:t>
      </w:r>
      <w:proofErr w:type="spellEnd"/>
      <w:r w:rsidRPr="003461FA">
        <w:t>“ gewährleistet. Dieses bietet durch zwei Optionen in den Aufgabenstellungen und Arbeitsheften die Möglichkeit, sowohl in fortgeführten als auch spätbeginnenden Kursen eingesetzt zu werden.</w:t>
      </w:r>
    </w:p>
    <w:p w:rsidR="003461FA" w:rsidRPr="003461FA" w:rsidRDefault="003461FA" w:rsidP="003461FA">
      <w:r w:rsidRPr="003461FA">
        <w:t>Folgende Modelle sind denkbar, wenn mit</w:t>
      </w:r>
      <w:r w:rsidRPr="003461FA">
        <w:rPr>
          <w:i/>
        </w:rPr>
        <w:t xml:space="preserve"> ¡Arriba! </w:t>
      </w:r>
      <w:proofErr w:type="gramStart"/>
      <w:r w:rsidRPr="003461FA">
        <w:t>fünf</w:t>
      </w:r>
      <w:proofErr w:type="gramEnd"/>
      <w:r w:rsidRPr="003461FA">
        <w:t xml:space="preserve"> Lernjahre abgedeckt werden sollen:</w:t>
      </w:r>
    </w:p>
    <w:p w:rsidR="00D22A47" w:rsidRPr="00D22A47" w:rsidRDefault="00D22A47" w:rsidP="00D22A47">
      <w:pPr>
        <w:rPr>
          <w:b/>
        </w:rPr>
      </w:pPr>
      <w:r w:rsidRPr="00D22A47">
        <w:rPr>
          <w:b/>
        </w:rPr>
        <w:t xml:space="preserve">1. </w:t>
      </w:r>
      <w:r>
        <w:rPr>
          <w:b/>
        </w:rPr>
        <w:t>Streckung der Bücher</w:t>
      </w:r>
      <w:r w:rsidRPr="00D22A47">
        <w:rPr>
          <w:b/>
        </w:rPr>
        <w:t xml:space="preserve">: </w:t>
      </w:r>
    </w:p>
    <w:tbl>
      <w:tblPr>
        <w:tblStyle w:val="Tabellenraster"/>
        <w:tblW w:w="0" w:type="auto"/>
        <w:tblLook w:val="04A0" w:firstRow="1" w:lastRow="0" w:firstColumn="1" w:lastColumn="0" w:noHBand="0" w:noVBand="1"/>
      </w:tblPr>
      <w:tblGrid>
        <w:gridCol w:w="1214"/>
        <w:gridCol w:w="2467"/>
        <w:gridCol w:w="2551"/>
      </w:tblGrid>
      <w:tr w:rsidR="00D22A47" w:rsidRPr="00D22A47" w:rsidTr="0007431E">
        <w:tc>
          <w:tcPr>
            <w:tcW w:w="1214" w:type="dxa"/>
          </w:tcPr>
          <w:p w:rsidR="00D22A47" w:rsidRPr="00D22A47" w:rsidRDefault="00D22A47" w:rsidP="00D22A47">
            <w:r w:rsidRPr="00D22A47">
              <w:t xml:space="preserve">1. </w:t>
            </w:r>
            <w:proofErr w:type="spellStart"/>
            <w:r w:rsidRPr="00D22A47">
              <w:t>Lernjahr</w:t>
            </w:r>
            <w:proofErr w:type="spellEnd"/>
          </w:p>
        </w:tc>
        <w:tc>
          <w:tcPr>
            <w:tcW w:w="2467" w:type="dxa"/>
            <w:shd w:val="clear" w:color="auto" w:fill="89E0FF"/>
          </w:tcPr>
          <w:p w:rsidR="00D22A47" w:rsidRPr="00D22A47" w:rsidRDefault="00D22A47" w:rsidP="00D22A47">
            <w:r w:rsidRPr="00D22A47">
              <w:t>Band 1 (bis Kap. 7/8)</w:t>
            </w:r>
          </w:p>
        </w:tc>
        <w:tc>
          <w:tcPr>
            <w:tcW w:w="2551" w:type="dxa"/>
            <w:shd w:val="clear" w:color="auto" w:fill="89E0FF"/>
          </w:tcPr>
          <w:p w:rsidR="00D22A47" w:rsidRPr="00D22A47" w:rsidRDefault="00D22A47" w:rsidP="00D22A47"/>
        </w:tc>
      </w:tr>
      <w:tr w:rsidR="00D22A47" w:rsidRPr="00D22A47" w:rsidTr="0007431E">
        <w:tc>
          <w:tcPr>
            <w:tcW w:w="1214" w:type="dxa"/>
          </w:tcPr>
          <w:p w:rsidR="00D22A47" w:rsidRPr="00D22A47" w:rsidRDefault="00D22A47" w:rsidP="00D22A47">
            <w:r w:rsidRPr="00D22A47">
              <w:t>2. LJ</w:t>
            </w:r>
          </w:p>
        </w:tc>
        <w:tc>
          <w:tcPr>
            <w:tcW w:w="2467" w:type="dxa"/>
            <w:shd w:val="clear" w:color="auto" w:fill="89E0FF"/>
          </w:tcPr>
          <w:p w:rsidR="00D22A47" w:rsidRPr="00D22A47" w:rsidRDefault="00D22A47" w:rsidP="00D22A47">
            <w:r w:rsidRPr="00D22A47">
              <w:t xml:space="preserve">Band 1 bis zum Halbjahr, </w:t>
            </w:r>
          </w:p>
        </w:tc>
        <w:tc>
          <w:tcPr>
            <w:tcW w:w="2551" w:type="dxa"/>
            <w:shd w:val="clear" w:color="auto" w:fill="FFFF00"/>
          </w:tcPr>
          <w:p w:rsidR="00D22A47" w:rsidRPr="00D22A47" w:rsidRDefault="00D22A47" w:rsidP="00D22A47">
            <w:r w:rsidRPr="00D22A47">
              <w:t>dann Wechsel zu Band 2</w:t>
            </w:r>
          </w:p>
        </w:tc>
      </w:tr>
      <w:tr w:rsidR="00D22A47" w:rsidRPr="00D22A47" w:rsidTr="0007431E">
        <w:tc>
          <w:tcPr>
            <w:tcW w:w="1214" w:type="dxa"/>
          </w:tcPr>
          <w:p w:rsidR="00D22A47" w:rsidRPr="00D22A47" w:rsidRDefault="00D22A47" w:rsidP="00D22A47">
            <w:r w:rsidRPr="00D22A47">
              <w:t>3. LJ</w:t>
            </w:r>
          </w:p>
        </w:tc>
        <w:tc>
          <w:tcPr>
            <w:tcW w:w="2467" w:type="dxa"/>
            <w:shd w:val="clear" w:color="auto" w:fill="FFFF00"/>
          </w:tcPr>
          <w:p w:rsidR="00D22A47" w:rsidRPr="00D22A47" w:rsidRDefault="00D22A47" w:rsidP="00D22A47">
            <w:r w:rsidRPr="00D22A47">
              <w:t>Band 2</w:t>
            </w:r>
          </w:p>
        </w:tc>
        <w:tc>
          <w:tcPr>
            <w:tcW w:w="2551" w:type="dxa"/>
            <w:shd w:val="clear" w:color="auto" w:fill="FFFF00"/>
          </w:tcPr>
          <w:p w:rsidR="00D22A47" w:rsidRPr="00D22A47" w:rsidRDefault="00D22A47" w:rsidP="00D22A47"/>
        </w:tc>
      </w:tr>
      <w:tr w:rsidR="00D22A47" w:rsidRPr="00D22A47" w:rsidTr="0007431E">
        <w:tc>
          <w:tcPr>
            <w:tcW w:w="1214" w:type="dxa"/>
          </w:tcPr>
          <w:p w:rsidR="00D22A47" w:rsidRPr="00D22A47" w:rsidRDefault="00D22A47" w:rsidP="00D22A47">
            <w:r w:rsidRPr="00D22A47">
              <w:t>4. LJ</w:t>
            </w:r>
          </w:p>
        </w:tc>
        <w:tc>
          <w:tcPr>
            <w:tcW w:w="2467" w:type="dxa"/>
            <w:shd w:val="clear" w:color="auto" w:fill="92D050"/>
          </w:tcPr>
          <w:p w:rsidR="00D22A47" w:rsidRPr="00D22A47" w:rsidRDefault="00D22A47" w:rsidP="00D22A47">
            <w:r w:rsidRPr="00D22A47">
              <w:t>Band 3</w:t>
            </w:r>
          </w:p>
        </w:tc>
        <w:tc>
          <w:tcPr>
            <w:tcW w:w="2551" w:type="dxa"/>
            <w:shd w:val="clear" w:color="auto" w:fill="92D050"/>
          </w:tcPr>
          <w:p w:rsidR="00D22A47" w:rsidRPr="00D22A47" w:rsidRDefault="00D22A47" w:rsidP="00D22A47"/>
        </w:tc>
      </w:tr>
      <w:tr w:rsidR="00D22A47" w:rsidRPr="00D22A47" w:rsidTr="0007431E">
        <w:tc>
          <w:tcPr>
            <w:tcW w:w="1214" w:type="dxa"/>
          </w:tcPr>
          <w:p w:rsidR="00D22A47" w:rsidRPr="00D22A47" w:rsidRDefault="00D22A47" w:rsidP="00D22A47">
            <w:r w:rsidRPr="00D22A47">
              <w:t>5. LJ</w:t>
            </w:r>
          </w:p>
        </w:tc>
        <w:tc>
          <w:tcPr>
            <w:tcW w:w="2467" w:type="dxa"/>
            <w:shd w:val="clear" w:color="auto" w:fill="FFC000"/>
          </w:tcPr>
          <w:p w:rsidR="00D22A47" w:rsidRPr="00D22A47" w:rsidRDefault="00D22A47" w:rsidP="00D22A47">
            <w:r w:rsidRPr="00D22A47">
              <w:t>Band 4</w:t>
            </w:r>
          </w:p>
        </w:tc>
        <w:tc>
          <w:tcPr>
            <w:tcW w:w="2551" w:type="dxa"/>
            <w:shd w:val="clear" w:color="auto" w:fill="FFC000"/>
          </w:tcPr>
          <w:p w:rsidR="00D22A47" w:rsidRPr="00D22A47" w:rsidRDefault="00D22A47" w:rsidP="00D22A47"/>
        </w:tc>
      </w:tr>
    </w:tbl>
    <w:p w:rsidR="00D22A47" w:rsidRPr="00D22A47" w:rsidRDefault="00D22A47" w:rsidP="00D22A47"/>
    <w:p w:rsidR="00D22A47" w:rsidRPr="00D22A47" w:rsidRDefault="00D22A47" w:rsidP="00D22A47">
      <w:r w:rsidRPr="00D22A47">
        <w:t xml:space="preserve">Vorteile: </w:t>
      </w:r>
    </w:p>
    <w:p w:rsidR="00D22A47" w:rsidRPr="00D22A47" w:rsidRDefault="00D22A47" w:rsidP="00D22A47">
      <w:pPr>
        <w:numPr>
          <w:ilvl w:val="0"/>
          <w:numId w:val="1"/>
        </w:numPr>
        <w:contextualSpacing/>
      </w:pPr>
      <w:r w:rsidRPr="00D22A47">
        <w:t xml:space="preserve">alle fakultativen Angebote können genutzt werden (im Buch: </w:t>
      </w:r>
      <w:proofErr w:type="spellStart"/>
      <w:r w:rsidRPr="00D22A47">
        <w:t>caramelo</w:t>
      </w:r>
      <w:proofErr w:type="spellEnd"/>
      <w:r w:rsidRPr="00D22A47">
        <w:t xml:space="preserve">, Reto, </w:t>
      </w:r>
      <w:proofErr w:type="spellStart"/>
      <w:r w:rsidRPr="00D22A47">
        <w:t>Postales</w:t>
      </w:r>
      <w:proofErr w:type="spellEnd"/>
      <w:r w:rsidRPr="00D22A47">
        <w:t>, Binnendifferenzierung; Portfolioarbeit mit dem Arbeitsheft, Kopiervorlagen im Lehrermaterial, zusätzliche DVD-Sequenzen)</w:t>
      </w:r>
    </w:p>
    <w:p w:rsidR="00D22A47" w:rsidRPr="00D22A47" w:rsidRDefault="00D22A47" w:rsidP="00D22A47">
      <w:pPr>
        <w:numPr>
          <w:ilvl w:val="0"/>
          <w:numId w:val="1"/>
        </w:numPr>
        <w:contextualSpacing/>
      </w:pPr>
      <w:r w:rsidRPr="00D22A47">
        <w:t>der Ersatz fakultativer Angebote durch Lektüre- oder Filmarbeit ist zeitlich möglich</w:t>
      </w:r>
    </w:p>
    <w:p w:rsidR="00D22A47" w:rsidRPr="00D22A47" w:rsidRDefault="00D22A47" w:rsidP="00D22A47">
      <w:pPr>
        <w:numPr>
          <w:ilvl w:val="0"/>
          <w:numId w:val="1"/>
        </w:numPr>
        <w:spacing w:after="0" w:line="240" w:lineRule="auto"/>
        <w:ind w:left="714" w:hanging="357"/>
        <w:contextualSpacing/>
      </w:pPr>
      <w:r w:rsidRPr="00D22A47">
        <w:t xml:space="preserve">der Stoff wird nicht komplexer, das zusätzliche </w:t>
      </w:r>
      <w:proofErr w:type="spellStart"/>
      <w:r w:rsidRPr="00D22A47">
        <w:t>Lernjahr</w:t>
      </w:r>
      <w:proofErr w:type="spellEnd"/>
      <w:r w:rsidRPr="00D22A47">
        <w:t>, das beispielsweise ein G9 bietet, wird auch als zusätzliche Lernzeit genutzt</w:t>
      </w:r>
    </w:p>
    <w:p w:rsidR="00D22A47" w:rsidRPr="00D22A47" w:rsidRDefault="00D22A47" w:rsidP="00D22A47">
      <w:pPr>
        <w:numPr>
          <w:ilvl w:val="0"/>
          <w:numId w:val="1"/>
        </w:numPr>
        <w:spacing w:after="0" w:line="240" w:lineRule="auto"/>
        <w:ind w:left="714" w:hanging="357"/>
        <w:contextualSpacing/>
        <w:rPr>
          <w:rFonts w:ascii="Calibri" w:eastAsia="Calibri" w:hAnsi="Calibri" w:cs="Times New Roman"/>
        </w:rPr>
      </w:pPr>
      <w:proofErr w:type="gramStart"/>
      <w:r w:rsidRPr="00D22A47">
        <w:rPr>
          <w:rFonts w:ascii="Calibri" w:eastAsia="Calibri" w:hAnsi="Calibri" w:cs="Times New Roman"/>
        </w:rPr>
        <w:t>das</w:t>
      </w:r>
      <w:proofErr w:type="gramEnd"/>
      <w:r w:rsidRPr="00D22A47">
        <w:rPr>
          <w:rFonts w:ascii="Calibri" w:eastAsia="Calibri" w:hAnsi="Calibri" w:cs="Times New Roman"/>
        </w:rPr>
        <w:t xml:space="preserve"> zweite </w:t>
      </w:r>
      <w:proofErr w:type="spellStart"/>
      <w:r w:rsidRPr="00D22A47">
        <w:rPr>
          <w:rFonts w:ascii="Calibri" w:eastAsia="Calibri" w:hAnsi="Calibri" w:cs="Times New Roman"/>
        </w:rPr>
        <w:t>Lernjahr</w:t>
      </w:r>
      <w:proofErr w:type="spellEnd"/>
      <w:r w:rsidRPr="00D22A47">
        <w:rPr>
          <w:rFonts w:ascii="Calibri" w:eastAsia="Calibri" w:hAnsi="Calibri" w:cs="Times New Roman"/>
        </w:rPr>
        <w:t xml:space="preserve"> kann durch den Einsatz von E-Books überbrückt werden, so muss kein doppelter Büchersatz angeschafft werden (An Ihrer Schule ist die gedruckte Fassung </w:t>
      </w:r>
      <w:r w:rsidRPr="00D22A47">
        <w:rPr>
          <w:rFonts w:ascii="Calibri" w:eastAsia="Calibri" w:hAnsi="Calibri" w:cs="Times New Roman"/>
        </w:rPr>
        <w:lastRenderedPageBreak/>
        <w:t xml:space="preserve">eingeführt? Dann erhalten Sie die digitale Ausgabe zu einem vergünstigten Preis von € 1,- pro Jahr und Nutzer, siehe hierzu </w:t>
      </w:r>
      <w:hyperlink r:id="rId5" w:history="1">
        <w:r w:rsidRPr="00D22A47">
          <w:rPr>
            <w:rFonts w:ascii="Calibri" w:eastAsia="Calibri" w:hAnsi="Calibri" w:cs="Times New Roman"/>
            <w:color w:val="0563C1"/>
            <w:u w:val="single"/>
          </w:rPr>
          <w:t>http://www.ccbuchner.de/titel-0-0/schuelerband_1-4057/</w:t>
        </w:r>
      </w:hyperlink>
      <w:r w:rsidRPr="00D22A47">
        <w:rPr>
          <w:rFonts w:ascii="Calibri" w:eastAsia="Calibri" w:hAnsi="Calibri" w:cs="Times New Roman"/>
        </w:rPr>
        <w:t>)</w:t>
      </w:r>
    </w:p>
    <w:p w:rsidR="00D22A47" w:rsidRPr="00D22A47" w:rsidRDefault="00D22A47" w:rsidP="00D22A47"/>
    <w:p w:rsidR="00D22A47" w:rsidRPr="00D22A47" w:rsidRDefault="00D22A47" w:rsidP="00D22A47">
      <w:pPr>
        <w:rPr>
          <w:b/>
        </w:rPr>
      </w:pPr>
      <w:r w:rsidRPr="00D22A47">
        <w:rPr>
          <w:b/>
        </w:rPr>
        <w:t xml:space="preserve">2. Einsatz des Oberstufen-Lese- und Arbeitsbuches </w:t>
      </w:r>
      <w:proofErr w:type="spellStart"/>
      <w:r w:rsidRPr="00D22A47">
        <w:rPr>
          <w:b/>
          <w:i/>
        </w:rPr>
        <w:t>Enfoques</w:t>
      </w:r>
      <w:proofErr w:type="spellEnd"/>
      <w:r w:rsidRPr="00D22A47">
        <w:rPr>
          <w:b/>
          <w:i/>
        </w:rPr>
        <w:t xml:space="preserve"> al </w:t>
      </w:r>
      <w:proofErr w:type="spellStart"/>
      <w:r w:rsidRPr="00D22A47">
        <w:rPr>
          <w:b/>
          <w:i/>
        </w:rPr>
        <w:t>mundo</w:t>
      </w:r>
      <w:proofErr w:type="spellEnd"/>
      <w:r w:rsidRPr="00D22A47">
        <w:rPr>
          <w:b/>
          <w:i/>
        </w:rPr>
        <w:t xml:space="preserve"> </w:t>
      </w:r>
      <w:proofErr w:type="spellStart"/>
      <w:r w:rsidRPr="00D22A47">
        <w:rPr>
          <w:b/>
          <w:i/>
        </w:rPr>
        <w:t>hispánico</w:t>
      </w:r>
      <w:proofErr w:type="spellEnd"/>
      <w:r w:rsidRPr="00D22A47">
        <w:rPr>
          <w:b/>
        </w:rPr>
        <w:t xml:space="preserve"> im fünften </w:t>
      </w:r>
      <w:proofErr w:type="spellStart"/>
      <w:r w:rsidRPr="00D22A47">
        <w:rPr>
          <w:b/>
        </w:rPr>
        <w:t>Lernjahr</w:t>
      </w:r>
      <w:proofErr w:type="spellEnd"/>
      <w:r w:rsidRPr="00D22A47">
        <w:rPr>
          <w:b/>
        </w:rPr>
        <w:t>:</w:t>
      </w:r>
    </w:p>
    <w:tbl>
      <w:tblPr>
        <w:tblStyle w:val="Tabellenraster"/>
        <w:tblW w:w="0" w:type="auto"/>
        <w:tblLook w:val="04A0" w:firstRow="1" w:lastRow="0" w:firstColumn="1" w:lastColumn="0" w:noHBand="0" w:noVBand="1"/>
      </w:tblPr>
      <w:tblGrid>
        <w:gridCol w:w="1214"/>
        <w:gridCol w:w="3601"/>
      </w:tblGrid>
      <w:tr w:rsidR="00D22A47" w:rsidRPr="00D22A47" w:rsidTr="0007431E">
        <w:tc>
          <w:tcPr>
            <w:tcW w:w="1214" w:type="dxa"/>
          </w:tcPr>
          <w:p w:rsidR="00D22A47" w:rsidRPr="00D22A47" w:rsidRDefault="00D22A47" w:rsidP="00D22A47">
            <w:r w:rsidRPr="00D22A47">
              <w:t xml:space="preserve">1. </w:t>
            </w:r>
            <w:proofErr w:type="spellStart"/>
            <w:r w:rsidRPr="00D22A47">
              <w:t>Lernjahr</w:t>
            </w:r>
            <w:proofErr w:type="spellEnd"/>
          </w:p>
        </w:tc>
        <w:tc>
          <w:tcPr>
            <w:tcW w:w="3601" w:type="dxa"/>
            <w:shd w:val="clear" w:color="auto" w:fill="89E0FF"/>
          </w:tcPr>
          <w:p w:rsidR="00D22A47" w:rsidRPr="00D22A47" w:rsidRDefault="00D22A47" w:rsidP="00D22A47">
            <w:r w:rsidRPr="00D22A47">
              <w:t xml:space="preserve">Band 1 </w:t>
            </w:r>
          </w:p>
        </w:tc>
      </w:tr>
      <w:tr w:rsidR="00D22A47" w:rsidRPr="00D22A47" w:rsidTr="0007431E">
        <w:tc>
          <w:tcPr>
            <w:tcW w:w="1214" w:type="dxa"/>
          </w:tcPr>
          <w:p w:rsidR="00D22A47" w:rsidRPr="00D22A47" w:rsidRDefault="00D22A47" w:rsidP="00D22A47">
            <w:r w:rsidRPr="00D22A47">
              <w:t>2. LJ</w:t>
            </w:r>
          </w:p>
        </w:tc>
        <w:tc>
          <w:tcPr>
            <w:tcW w:w="3601" w:type="dxa"/>
            <w:shd w:val="clear" w:color="auto" w:fill="FFFF00"/>
          </w:tcPr>
          <w:p w:rsidR="00D22A47" w:rsidRPr="00D22A47" w:rsidRDefault="00D22A47" w:rsidP="00D22A47">
            <w:r w:rsidRPr="00D22A47">
              <w:t>Band 2</w:t>
            </w:r>
          </w:p>
        </w:tc>
      </w:tr>
      <w:tr w:rsidR="00D22A47" w:rsidRPr="00D22A47" w:rsidTr="0007431E">
        <w:tc>
          <w:tcPr>
            <w:tcW w:w="1214" w:type="dxa"/>
          </w:tcPr>
          <w:p w:rsidR="00D22A47" w:rsidRPr="00D22A47" w:rsidRDefault="00D22A47" w:rsidP="00D22A47">
            <w:r w:rsidRPr="00D22A47">
              <w:t>3. LJ</w:t>
            </w:r>
          </w:p>
        </w:tc>
        <w:tc>
          <w:tcPr>
            <w:tcW w:w="3601" w:type="dxa"/>
            <w:shd w:val="clear" w:color="auto" w:fill="92D050"/>
          </w:tcPr>
          <w:p w:rsidR="00D22A47" w:rsidRPr="00D22A47" w:rsidRDefault="00D22A47" w:rsidP="00D22A47">
            <w:r w:rsidRPr="00D22A47">
              <w:t>Band 3</w:t>
            </w:r>
          </w:p>
        </w:tc>
      </w:tr>
      <w:tr w:rsidR="00D22A47" w:rsidRPr="00D22A47" w:rsidTr="0007431E">
        <w:tc>
          <w:tcPr>
            <w:tcW w:w="1214" w:type="dxa"/>
          </w:tcPr>
          <w:p w:rsidR="00D22A47" w:rsidRPr="00D22A47" w:rsidRDefault="00D22A47" w:rsidP="00D22A47">
            <w:r w:rsidRPr="00D22A47">
              <w:t>4. LJ</w:t>
            </w:r>
          </w:p>
        </w:tc>
        <w:tc>
          <w:tcPr>
            <w:tcW w:w="3601" w:type="dxa"/>
            <w:shd w:val="clear" w:color="auto" w:fill="FFC000"/>
          </w:tcPr>
          <w:p w:rsidR="00D22A47" w:rsidRPr="00D22A47" w:rsidRDefault="00D22A47" w:rsidP="00D22A47">
            <w:r w:rsidRPr="00D22A47">
              <w:t>Band 4</w:t>
            </w:r>
          </w:p>
        </w:tc>
      </w:tr>
      <w:tr w:rsidR="00D22A47" w:rsidRPr="00D22A47" w:rsidTr="0007431E">
        <w:tc>
          <w:tcPr>
            <w:tcW w:w="1214" w:type="dxa"/>
          </w:tcPr>
          <w:p w:rsidR="00D22A47" w:rsidRPr="00D22A47" w:rsidRDefault="00D22A47" w:rsidP="00D22A47">
            <w:r w:rsidRPr="00D22A47">
              <w:t>5. LJ</w:t>
            </w:r>
          </w:p>
        </w:tc>
        <w:tc>
          <w:tcPr>
            <w:tcW w:w="3601" w:type="dxa"/>
            <w:shd w:val="clear" w:color="auto" w:fill="FE0262"/>
          </w:tcPr>
          <w:p w:rsidR="00D22A47" w:rsidRPr="00D22A47" w:rsidRDefault="00D22A47" w:rsidP="00D22A47">
            <w:proofErr w:type="spellStart"/>
            <w:r w:rsidRPr="00D22A47">
              <w:t>Enfoques</w:t>
            </w:r>
            <w:proofErr w:type="spellEnd"/>
            <w:r w:rsidRPr="00D22A47">
              <w:t xml:space="preserve"> al </w:t>
            </w:r>
            <w:proofErr w:type="spellStart"/>
            <w:r w:rsidRPr="00D22A47">
              <w:t>mundo</w:t>
            </w:r>
            <w:proofErr w:type="spellEnd"/>
            <w:r w:rsidRPr="00D22A47">
              <w:t xml:space="preserve"> </w:t>
            </w:r>
            <w:proofErr w:type="spellStart"/>
            <w:r w:rsidRPr="00D22A47">
              <w:t>hispánico</w:t>
            </w:r>
            <w:proofErr w:type="spellEnd"/>
          </w:p>
        </w:tc>
      </w:tr>
    </w:tbl>
    <w:p w:rsidR="00D22A47" w:rsidRPr="00D22A47" w:rsidRDefault="00D22A47" w:rsidP="00D22A47"/>
    <w:p w:rsidR="00D22A47" w:rsidRPr="00D22A47" w:rsidRDefault="00D22A47" w:rsidP="00D22A47">
      <w:r w:rsidRPr="00D22A47">
        <w:t>Vorteile:</w:t>
      </w:r>
    </w:p>
    <w:p w:rsidR="00D22A47" w:rsidRPr="00D22A47" w:rsidRDefault="00D22A47" w:rsidP="00D22A47">
      <w:pPr>
        <w:numPr>
          <w:ilvl w:val="0"/>
          <w:numId w:val="1"/>
        </w:numPr>
        <w:spacing w:after="0" w:line="254" w:lineRule="auto"/>
        <w:contextualSpacing/>
        <w:rPr>
          <w:rFonts w:ascii="Calibri" w:eastAsia="Calibri" w:hAnsi="Calibri" w:cs="Times New Roman"/>
        </w:rPr>
      </w:pPr>
      <w:r w:rsidRPr="00D22A47">
        <w:rPr>
          <w:rFonts w:ascii="Calibri" w:eastAsia="Calibri" w:hAnsi="Calibri" w:cs="Times New Roman"/>
        </w:rPr>
        <w:t xml:space="preserve">Das fünfte </w:t>
      </w:r>
      <w:proofErr w:type="spellStart"/>
      <w:r w:rsidRPr="00D22A47">
        <w:rPr>
          <w:rFonts w:ascii="Calibri" w:eastAsia="Calibri" w:hAnsi="Calibri" w:cs="Times New Roman"/>
        </w:rPr>
        <w:t>Lernjahr</w:t>
      </w:r>
      <w:proofErr w:type="spellEnd"/>
      <w:r w:rsidRPr="00D22A47">
        <w:rPr>
          <w:rFonts w:ascii="Calibri" w:eastAsia="Calibri" w:hAnsi="Calibri" w:cs="Times New Roman"/>
        </w:rPr>
        <w:t xml:space="preserve"> wird zur Wiederholung und zur Heranführung an oberstufentypische Arbeitsformen genutzt</w:t>
      </w:r>
    </w:p>
    <w:p w:rsidR="00D22A47" w:rsidRPr="00D22A47" w:rsidRDefault="00D22A47" w:rsidP="00D22A47">
      <w:pPr>
        <w:numPr>
          <w:ilvl w:val="0"/>
          <w:numId w:val="1"/>
        </w:numPr>
        <w:spacing w:after="0" w:line="254" w:lineRule="auto"/>
        <w:contextualSpacing/>
        <w:rPr>
          <w:rFonts w:ascii="Calibri" w:eastAsia="Calibri" w:hAnsi="Calibri" w:cs="Times New Roman"/>
        </w:rPr>
      </w:pPr>
      <w:r w:rsidRPr="00D22A47">
        <w:rPr>
          <w:rFonts w:ascii="Calibri" w:eastAsia="Calibri" w:hAnsi="Calibri" w:cs="Times New Roman"/>
        </w:rPr>
        <w:t>Es gibt bereits ein Oberstufenbuch, das auch in den folgenden beiden Jahren zur Abiturvorbereitung eingesetzt werden kann</w:t>
      </w:r>
    </w:p>
    <w:p w:rsidR="00D22A47" w:rsidRPr="00D22A47" w:rsidRDefault="00D22A47" w:rsidP="00D22A47">
      <w:pPr>
        <w:numPr>
          <w:ilvl w:val="0"/>
          <w:numId w:val="1"/>
        </w:numPr>
        <w:spacing w:after="0" w:line="254" w:lineRule="auto"/>
        <w:contextualSpacing/>
        <w:rPr>
          <w:rFonts w:ascii="Calibri" w:eastAsia="Calibri" w:hAnsi="Calibri" w:cs="Times New Roman"/>
        </w:rPr>
      </w:pPr>
      <w:r w:rsidRPr="00D22A47">
        <w:rPr>
          <w:rFonts w:ascii="Calibri" w:eastAsia="Calibri" w:hAnsi="Calibri" w:cs="Times New Roman"/>
        </w:rPr>
        <w:t xml:space="preserve">Die Teilung der Aufgabenstellung in </w:t>
      </w:r>
      <w:proofErr w:type="spellStart"/>
      <w:r w:rsidRPr="00D22A47">
        <w:rPr>
          <w:rFonts w:ascii="Calibri" w:eastAsia="Calibri" w:hAnsi="Calibri" w:cs="Times New Roman"/>
        </w:rPr>
        <w:t>Enfoques</w:t>
      </w:r>
      <w:proofErr w:type="spellEnd"/>
      <w:r w:rsidRPr="00D22A47">
        <w:rPr>
          <w:rFonts w:ascii="Calibri" w:eastAsia="Calibri" w:hAnsi="Calibri" w:cs="Times New Roman"/>
        </w:rPr>
        <w:t xml:space="preserve"> in anforderungsunterschiedliche </w:t>
      </w:r>
      <w:proofErr w:type="spellStart"/>
      <w:r w:rsidRPr="00D22A47">
        <w:rPr>
          <w:rFonts w:ascii="Calibri" w:eastAsia="Calibri" w:hAnsi="Calibri" w:cs="Times New Roman"/>
        </w:rPr>
        <w:t>Opciones</w:t>
      </w:r>
      <w:proofErr w:type="spellEnd"/>
      <w:r w:rsidRPr="00D22A47">
        <w:rPr>
          <w:rFonts w:ascii="Calibri" w:eastAsia="Calibri" w:hAnsi="Calibri" w:cs="Times New Roman"/>
        </w:rPr>
        <w:t xml:space="preserve"> A und B ermöglicht den Einsatz auch für spätbeginnende Fremdsprache</w:t>
      </w:r>
    </w:p>
    <w:p w:rsidR="00D22A47" w:rsidRPr="00D22A47" w:rsidRDefault="00D22A47" w:rsidP="00D22A47">
      <w:pPr>
        <w:numPr>
          <w:ilvl w:val="0"/>
          <w:numId w:val="1"/>
        </w:numPr>
        <w:spacing w:after="0" w:line="254" w:lineRule="auto"/>
        <w:contextualSpacing/>
      </w:pPr>
      <w:r w:rsidRPr="00D22A47">
        <w:rPr>
          <w:rFonts w:ascii="Calibri" w:eastAsia="Calibri" w:hAnsi="Calibri" w:cs="Times New Roman"/>
        </w:rPr>
        <w:t xml:space="preserve">Besonders geeignet für das fünfte </w:t>
      </w:r>
      <w:proofErr w:type="spellStart"/>
      <w:r w:rsidRPr="00D22A47">
        <w:rPr>
          <w:rFonts w:ascii="Calibri" w:eastAsia="Calibri" w:hAnsi="Calibri" w:cs="Times New Roman"/>
        </w:rPr>
        <w:t>Lernjahr</w:t>
      </w:r>
      <w:proofErr w:type="spellEnd"/>
      <w:r w:rsidRPr="00D22A47">
        <w:rPr>
          <w:rFonts w:ascii="Calibri" w:eastAsia="Calibri" w:hAnsi="Calibri" w:cs="Times New Roman"/>
        </w:rPr>
        <w:t xml:space="preserve"> sind die Kapitel 1 (Jugendliche), 4 (Andalusien, Stationenlernen), 6 (</w:t>
      </w:r>
      <w:proofErr w:type="spellStart"/>
      <w:r w:rsidRPr="00D22A47">
        <w:rPr>
          <w:rFonts w:ascii="Calibri" w:eastAsia="Calibri" w:hAnsi="Calibri" w:cs="Times New Roman"/>
        </w:rPr>
        <w:t>diversidad</w:t>
      </w:r>
      <w:proofErr w:type="spellEnd"/>
      <w:r w:rsidRPr="00D22A47">
        <w:rPr>
          <w:rFonts w:ascii="Calibri" w:eastAsia="Calibri" w:hAnsi="Calibri" w:cs="Times New Roman"/>
        </w:rPr>
        <w:t xml:space="preserve"> </w:t>
      </w:r>
      <w:proofErr w:type="spellStart"/>
      <w:r w:rsidRPr="00D22A47">
        <w:rPr>
          <w:rFonts w:ascii="Calibri" w:eastAsia="Calibri" w:hAnsi="Calibri" w:cs="Times New Roman"/>
        </w:rPr>
        <w:t>cultural</w:t>
      </w:r>
      <w:proofErr w:type="spellEnd"/>
      <w:r w:rsidRPr="00D22A47">
        <w:rPr>
          <w:rFonts w:ascii="Calibri" w:eastAsia="Calibri" w:hAnsi="Calibri" w:cs="Times New Roman"/>
        </w:rPr>
        <w:t xml:space="preserve"> de </w:t>
      </w:r>
      <w:proofErr w:type="spellStart"/>
      <w:r w:rsidRPr="00D22A47">
        <w:rPr>
          <w:rFonts w:ascii="Calibri" w:eastAsia="Calibri" w:hAnsi="Calibri" w:cs="Times New Roman"/>
        </w:rPr>
        <w:t>latinoamérica</w:t>
      </w:r>
      <w:proofErr w:type="spellEnd"/>
      <w:r w:rsidRPr="00D22A47">
        <w:rPr>
          <w:rFonts w:ascii="Calibri" w:eastAsia="Calibri" w:hAnsi="Calibri" w:cs="Times New Roman"/>
        </w:rPr>
        <w:t>)</w:t>
      </w:r>
    </w:p>
    <w:p w:rsidR="00731B8F" w:rsidRDefault="00731B8F">
      <w:bookmarkStart w:id="0" w:name="_GoBack"/>
      <w:bookmarkEnd w:id="0"/>
    </w:p>
    <w:sectPr w:rsidR="00731B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95B5F"/>
    <w:multiLevelType w:val="hybridMultilevel"/>
    <w:tmpl w:val="51323EEC"/>
    <w:lvl w:ilvl="0" w:tplc="CA386A74">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47"/>
    <w:rsid w:val="003461FA"/>
    <w:rsid w:val="00731B8F"/>
    <w:rsid w:val="00D22A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4AC60-26B7-4DF4-8A3B-48522E52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22A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D22A4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cbuchner.de/titel-0-0/schuelerband_1-40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3441</Characters>
  <Application>Microsoft Office Word</Application>
  <DocSecurity>0</DocSecurity>
  <Lines>28</Lines>
  <Paragraphs>7</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Der Einsatz des Lehrwerkes ¡Arriba! Nuevos enfoques para ti </vt:lpstr>
      <vt:lpstr>in der Praxis</vt:lpstr>
    </vt:vector>
  </TitlesOfParts>
  <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Puppel - C.C.Buchner Verlag</dc:creator>
  <cp:keywords/>
  <dc:description/>
  <cp:lastModifiedBy>Puppel - C.C.Buchner Verlag</cp:lastModifiedBy>
  <cp:revision>2</cp:revision>
  <cp:lastPrinted>2017-04-03T12:13:00Z</cp:lastPrinted>
  <dcterms:created xsi:type="dcterms:W3CDTF">2017-04-03T12:10:00Z</dcterms:created>
  <dcterms:modified xsi:type="dcterms:W3CDTF">2017-04-03T12:14:00Z</dcterms:modified>
</cp:coreProperties>
</file>