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8B" w:rsidRDefault="003736A2" w:rsidP="008816DF">
      <w:pPr>
        <w:pStyle w:val="KeinLeerraum"/>
        <w:suppressLineNumbers/>
        <w:jc w:val="both"/>
        <w:rPr>
          <w:b/>
          <w:color w:val="25408F"/>
          <w:sz w:val="28"/>
        </w:rPr>
      </w:pPr>
      <w:r w:rsidRPr="003736A2">
        <w:rPr>
          <w:b/>
          <w:color w:val="25408F"/>
          <w:sz w:val="28"/>
        </w:rPr>
        <w:t>„</w:t>
      </w:r>
      <w:proofErr w:type="spellStart"/>
      <w:r w:rsidRPr="003736A2">
        <w:rPr>
          <w:b/>
          <w:color w:val="25408F"/>
          <w:sz w:val="28"/>
        </w:rPr>
        <w:t>Uniting</w:t>
      </w:r>
      <w:proofErr w:type="spellEnd"/>
      <w:r w:rsidRPr="003736A2">
        <w:rPr>
          <w:b/>
          <w:color w:val="25408F"/>
          <w:sz w:val="28"/>
        </w:rPr>
        <w:t xml:space="preserve"> </w:t>
      </w:r>
      <w:proofErr w:type="spellStart"/>
      <w:r w:rsidRPr="003736A2">
        <w:rPr>
          <w:b/>
          <w:color w:val="25408F"/>
          <w:sz w:val="28"/>
        </w:rPr>
        <w:t>for</w:t>
      </w:r>
      <w:proofErr w:type="spellEnd"/>
      <w:r w:rsidRPr="003736A2">
        <w:rPr>
          <w:b/>
          <w:color w:val="25408F"/>
          <w:sz w:val="28"/>
        </w:rPr>
        <w:t xml:space="preserve"> </w:t>
      </w:r>
      <w:proofErr w:type="spellStart"/>
      <w:r w:rsidRPr="003736A2">
        <w:rPr>
          <w:b/>
          <w:color w:val="25408F"/>
          <w:sz w:val="28"/>
        </w:rPr>
        <w:t>Peace</w:t>
      </w:r>
      <w:proofErr w:type="spellEnd"/>
      <w:r w:rsidRPr="003736A2">
        <w:rPr>
          <w:b/>
          <w:color w:val="25408F"/>
          <w:sz w:val="28"/>
        </w:rPr>
        <w:t>“ für die Ukraine</w:t>
      </w:r>
      <w:r>
        <w:rPr>
          <w:b/>
          <w:color w:val="25408F"/>
          <w:sz w:val="28"/>
        </w:rPr>
        <w:t xml:space="preserve"> (M27)</w:t>
      </w:r>
    </w:p>
    <w:p w:rsidR="003736A2" w:rsidRPr="003736A2" w:rsidRDefault="003736A2" w:rsidP="003736A2">
      <w:pPr>
        <w:spacing w:before="100" w:beforeAutospacing="1" w:after="100" w:afterAutospacing="1"/>
        <w:rPr>
          <w:rFonts w:asciiTheme="minorHAnsi" w:hAnsiTheme="minorHAnsi" w:cstheme="minorHAnsi"/>
          <w:b/>
          <w:iCs/>
        </w:rPr>
      </w:pPr>
      <w:r w:rsidRPr="003736A2">
        <w:rPr>
          <w:rFonts w:asciiTheme="minorHAnsi" w:hAnsiTheme="minorHAnsi" w:cstheme="minorHAnsi"/>
          <w:b/>
          <w:iCs/>
        </w:rPr>
        <w:t>UNO-Resolution im Rahmen „</w:t>
      </w:r>
      <w:proofErr w:type="spellStart"/>
      <w:r w:rsidRPr="003736A2">
        <w:rPr>
          <w:rFonts w:asciiTheme="minorHAnsi" w:hAnsiTheme="minorHAnsi" w:cstheme="minorHAnsi"/>
          <w:b/>
          <w:iCs/>
        </w:rPr>
        <w:t>Uniting</w:t>
      </w:r>
      <w:proofErr w:type="spellEnd"/>
      <w:r w:rsidRPr="003736A2">
        <w:rPr>
          <w:rFonts w:asciiTheme="minorHAnsi" w:hAnsiTheme="minorHAnsi" w:cstheme="minorHAnsi"/>
          <w:b/>
          <w:iCs/>
        </w:rPr>
        <w:t xml:space="preserve"> </w:t>
      </w:r>
      <w:proofErr w:type="spellStart"/>
      <w:r w:rsidRPr="003736A2">
        <w:rPr>
          <w:rFonts w:asciiTheme="minorHAnsi" w:hAnsiTheme="minorHAnsi" w:cstheme="minorHAnsi"/>
          <w:b/>
          <w:iCs/>
        </w:rPr>
        <w:t>for</w:t>
      </w:r>
      <w:proofErr w:type="spellEnd"/>
      <w:r w:rsidRPr="003736A2">
        <w:rPr>
          <w:rFonts w:asciiTheme="minorHAnsi" w:hAnsiTheme="minorHAnsi" w:cstheme="minorHAnsi"/>
          <w:b/>
          <w:iCs/>
        </w:rPr>
        <w:t xml:space="preserve"> </w:t>
      </w:r>
      <w:proofErr w:type="spellStart"/>
      <w:r w:rsidRPr="003736A2">
        <w:rPr>
          <w:rFonts w:asciiTheme="minorHAnsi" w:hAnsiTheme="minorHAnsi" w:cstheme="minorHAnsi"/>
          <w:b/>
          <w:iCs/>
        </w:rPr>
        <w:t>Peace</w:t>
      </w:r>
      <w:proofErr w:type="spellEnd"/>
      <w:r w:rsidRPr="003736A2">
        <w:rPr>
          <w:rFonts w:asciiTheme="minorHAnsi" w:hAnsiTheme="minorHAnsi" w:cstheme="minorHAnsi"/>
          <w:b/>
          <w:iCs/>
        </w:rPr>
        <w:t xml:space="preserve">“  </w:t>
      </w:r>
    </w:p>
    <w:p w:rsidR="003736A2" w:rsidRPr="008816DF" w:rsidRDefault="003736A2" w:rsidP="003736A2">
      <w:pPr>
        <w:pStyle w:val="StandardWeb"/>
        <w:suppressLineNumbers/>
        <w:shd w:val="clear" w:color="auto" w:fill="E7E6E6" w:themeFill="background2"/>
        <w:spacing w:before="0" w:beforeAutospacing="0" w:after="0" w:afterAutospacing="0" w:line="276" w:lineRule="auto"/>
        <w:jc w:val="both"/>
        <w:rPr>
          <w:rFonts w:ascii="Calibri" w:hAnsi="Calibri" w:cs="Times"/>
        </w:rPr>
      </w:pPr>
      <w:bookmarkStart w:id="0" w:name="_GoBack"/>
      <w:bookmarkEnd w:id="0"/>
      <w:r>
        <w:rPr>
          <w:rFonts w:ascii="Calibri" w:hAnsi="Calibri" w:cs="Times"/>
          <w:b/>
          <w:sz w:val="32"/>
          <w:shd w:val="clear" w:color="auto" w:fill="DEDC00"/>
        </w:rPr>
        <w:t xml:space="preserve"> 1</w:t>
      </w:r>
      <w:r w:rsidRPr="00C27201">
        <w:rPr>
          <w:rFonts w:ascii="Calibri" w:hAnsi="Calibri" w:cs="Times"/>
          <w:b/>
          <w:sz w:val="32"/>
          <w:shd w:val="clear" w:color="auto" w:fill="DEDC00"/>
        </w:rPr>
        <w:t xml:space="preserve"> </w:t>
      </w:r>
      <w:r>
        <w:rPr>
          <w:rFonts w:ascii="Calibri" w:hAnsi="Calibri" w:cs="Times"/>
          <w:b/>
          <w:sz w:val="32"/>
        </w:rPr>
        <w:t xml:space="preserve"> </w:t>
      </w:r>
      <w:r w:rsidRPr="003736A2">
        <w:rPr>
          <w:rFonts w:asciiTheme="minorHAnsi" w:hAnsiTheme="minorHAnsi" w:cstheme="minorHAnsi"/>
        </w:rPr>
        <w:t>Gemäß der UN Charta kann die Generalversammlung keine Empfehlungen zu Friedens- und Sicherheitsthemen vorlegen, die zeitgleich vom Sicherheitsrat beschlossen werden. Hier gibt es jedoch eine Ausnahme: durch die Resolution 377 (V) „</w:t>
      </w:r>
      <w:proofErr w:type="spellStart"/>
      <w:r w:rsidRPr="003736A2">
        <w:rPr>
          <w:rFonts w:asciiTheme="minorHAnsi" w:hAnsiTheme="minorHAnsi" w:cstheme="minorHAnsi"/>
        </w:rPr>
        <w:t>Uniting</w:t>
      </w:r>
      <w:proofErr w:type="spellEnd"/>
      <w:r w:rsidRPr="003736A2">
        <w:rPr>
          <w:rFonts w:asciiTheme="minorHAnsi" w:hAnsiTheme="minorHAnsi" w:cstheme="minorHAnsi"/>
        </w:rPr>
        <w:t xml:space="preserve"> </w:t>
      </w:r>
      <w:proofErr w:type="spellStart"/>
      <w:r w:rsidRPr="003736A2">
        <w:rPr>
          <w:rFonts w:asciiTheme="minorHAnsi" w:hAnsiTheme="minorHAnsi" w:cstheme="minorHAnsi"/>
        </w:rPr>
        <w:t>for</w:t>
      </w:r>
      <w:proofErr w:type="spellEnd"/>
      <w:r w:rsidRPr="003736A2">
        <w:rPr>
          <w:rFonts w:asciiTheme="minorHAnsi" w:hAnsiTheme="minorHAnsi" w:cstheme="minorHAnsi"/>
        </w:rPr>
        <w:t xml:space="preserve"> </w:t>
      </w:r>
      <w:proofErr w:type="spellStart"/>
      <w:r w:rsidRPr="003736A2">
        <w:rPr>
          <w:rFonts w:asciiTheme="minorHAnsi" w:hAnsiTheme="minorHAnsi" w:cstheme="minorHAnsi"/>
        </w:rPr>
        <w:t>Peace</w:t>
      </w:r>
      <w:proofErr w:type="spellEnd"/>
      <w:r w:rsidRPr="003736A2">
        <w:rPr>
          <w:rFonts w:asciiTheme="minorHAnsi" w:hAnsiTheme="minorHAnsi" w:cstheme="minorHAnsi"/>
        </w:rPr>
        <w:t>“ (deutsch=Vereint für den Frieden) von 1950 kann die Generalversammlung handeln, sollte der Sicherheitsrat aufgrund eines Vetos durch ein ständiges Mitglied blockiert sein. Voraussetzung ist, dass ein Fall vorliegt, der eine Bedrohung oder Bruch des Friedens oder einen Akt der Aggression darstellt</w:t>
      </w:r>
      <w:r w:rsidRPr="003736A2">
        <w:rPr>
          <w:rFonts w:asciiTheme="minorHAnsi" w:hAnsiTheme="minorHAnsi" w:cstheme="minorHAnsi"/>
        </w:rPr>
        <w:t>.</w:t>
      </w:r>
    </w:p>
    <w:p w:rsidR="00084483" w:rsidRPr="003736A2" w:rsidRDefault="003736A2" w:rsidP="008816DF">
      <w:pPr>
        <w:suppressLineNumbers/>
        <w:rPr>
          <w:rFonts w:ascii="Calibri" w:hAnsi="Calibri" w:cs="Calibri"/>
          <w:i/>
          <w:sz w:val="20"/>
        </w:rPr>
      </w:pPr>
      <w:r w:rsidRPr="003736A2">
        <w:rPr>
          <w:rFonts w:ascii="Calibri" w:hAnsi="Calibri" w:cs="Calibri"/>
          <w:i/>
          <w:sz w:val="20"/>
        </w:rPr>
        <w:t>Deutsche Gesellschaft für die Vereinten Nationen e.V.: Generalversammlung. In: https://frieden-sichern.dgvn.de, Abruf am 05.04.2022</w:t>
      </w:r>
    </w:p>
    <w:p w:rsidR="003736A2" w:rsidRDefault="003736A2" w:rsidP="008816DF">
      <w:pPr>
        <w:suppressLineNumbers/>
        <w:rPr>
          <w:rFonts w:ascii="Calibri" w:hAnsi="Calibri" w:cs="Calibri"/>
          <w:i/>
        </w:rPr>
      </w:pPr>
    </w:p>
    <w:p w:rsidR="003736A2" w:rsidRPr="008816DF" w:rsidRDefault="003736A2" w:rsidP="003736A2">
      <w:pPr>
        <w:pStyle w:val="StandardWeb"/>
        <w:suppressLineNumbers/>
        <w:shd w:val="clear" w:color="auto" w:fill="E7E6E6" w:themeFill="background2"/>
        <w:spacing w:before="0" w:beforeAutospacing="0" w:after="0" w:afterAutospacing="0" w:line="276" w:lineRule="auto"/>
        <w:jc w:val="both"/>
        <w:rPr>
          <w:rFonts w:ascii="Calibri" w:hAnsi="Calibri" w:cs="Times"/>
        </w:rPr>
      </w:pPr>
      <w:r>
        <w:rPr>
          <w:rFonts w:ascii="Calibri" w:hAnsi="Calibri" w:cs="Times"/>
          <w:b/>
          <w:sz w:val="32"/>
          <w:shd w:val="clear" w:color="auto" w:fill="DEDC00"/>
        </w:rPr>
        <w:t xml:space="preserve"> </w:t>
      </w:r>
      <w:proofErr w:type="gramStart"/>
      <w:r>
        <w:rPr>
          <w:rFonts w:ascii="Calibri" w:hAnsi="Calibri" w:cs="Times"/>
          <w:b/>
          <w:sz w:val="32"/>
          <w:shd w:val="clear" w:color="auto" w:fill="DEDC00"/>
        </w:rPr>
        <w:t>2</w:t>
      </w:r>
      <w:r w:rsidRPr="00C27201">
        <w:rPr>
          <w:rFonts w:ascii="Calibri" w:hAnsi="Calibri" w:cs="Times"/>
          <w:b/>
          <w:sz w:val="32"/>
          <w:shd w:val="clear" w:color="auto" w:fill="DEDC00"/>
        </w:rPr>
        <w:t xml:space="preserve"> </w:t>
      </w:r>
      <w:r>
        <w:rPr>
          <w:rFonts w:ascii="Calibri" w:hAnsi="Calibri" w:cs="Times"/>
          <w:b/>
          <w:sz w:val="32"/>
        </w:rPr>
        <w:t xml:space="preserve"> </w:t>
      </w:r>
      <w:r>
        <w:rPr>
          <w:rFonts w:asciiTheme="minorHAnsi" w:hAnsiTheme="minorHAnsi" w:cstheme="minorHAnsi"/>
        </w:rPr>
        <w:t>A</w:t>
      </w:r>
      <w:r w:rsidRPr="003736A2">
        <w:rPr>
          <w:rFonts w:asciiTheme="minorHAnsi" w:hAnsiTheme="minorHAnsi" w:cstheme="minorHAnsi"/>
        </w:rPr>
        <w:t>nlässlich</w:t>
      </w:r>
      <w:proofErr w:type="gramEnd"/>
      <w:r w:rsidRPr="003736A2">
        <w:rPr>
          <w:rFonts w:asciiTheme="minorHAnsi" w:hAnsiTheme="minorHAnsi" w:cstheme="minorHAnsi"/>
        </w:rPr>
        <w:t xml:space="preserve"> des Einmarsches Russlands in die Ukraine im Februar 2022 kam die Generalversammlung am 02.03.2022 zum elften Mal in ihrer Geschichte für eine Abstimmung über eine Resolution im Rahmen von „</w:t>
      </w:r>
      <w:proofErr w:type="spellStart"/>
      <w:r w:rsidRPr="003736A2">
        <w:rPr>
          <w:rFonts w:asciiTheme="minorHAnsi" w:hAnsiTheme="minorHAnsi" w:cstheme="minorHAnsi"/>
        </w:rPr>
        <w:t>Uniting</w:t>
      </w:r>
      <w:proofErr w:type="spellEnd"/>
      <w:r w:rsidRPr="003736A2">
        <w:rPr>
          <w:rFonts w:asciiTheme="minorHAnsi" w:hAnsiTheme="minorHAnsi" w:cstheme="minorHAnsi"/>
        </w:rPr>
        <w:t xml:space="preserve"> </w:t>
      </w:r>
      <w:proofErr w:type="spellStart"/>
      <w:r w:rsidRPr="003736A2">
        <w:rPr>
          <w:rFonts w:asciiTheme="minorHAnsi" w:hAnsiTheme="minorHAnsi" w:cstheme="minorHAnsi"/>
        </w:rPr>
        <w:t>for</w:t>
      </w:r>
      <w:proofErr w:type="spellEnd"/>
      <w:r w:rsidRPr="003736A2">
        <w:rPr>
          <w:rFonts w:asciiTheme="minorHAnsi" w:hAnsiTheme="minorHAnsi" w:cstheme="minorHAnsi"/>
        </w:rPr>
        <w:t xml:space="preserve"> </w:t>
      </w:r>
      <w:proofErr w:type="spellStart"/>
      <w:r w:rsidRPr="003736A2">
        <w:rPr>
          <w:rFonts w:asciiTheme="minorHAnsi" w:hAnsiTheme="minorHAnsi" w:cstheme="minorHAnsi"/>
        </w:rPr>
        <w:t>Peace</w:t>
      </w:r>
      <w:proofErr w:type="spellEnd"/>
      <w:r w:rsidRPr="003736A2">
        <w:rPr>
          <w:rFonts w:asciiTheme="minorHAnsi" w:hAnsiTheme="minorHAnsi" w:cstheme="minorHAnsi"/>
        </w:rPr>
        <w:t>“ zusammen. Darin wurde der russische Angriff auf die Ukraine verurteilt und eine sofortige Waffenruhe gefordert. 141 Staaten unterstützten die Resolution, 5 Staaten stimmten dagegen. Die Resolution ist nicht bindend, gilt aber als moralisches Druckmittel.</w:t>
      </w:r>
    </w:p>
    <w:p w:rsidR="003736A2" w:rsidRPr="003736A2" w:rsidRDefault="003736A2" w:rsidP="003736A2">
      <w:pPr>
        <w:suppressLineNumbers/>
        <w:rPr>
          <w:rFonts w:ascii="Calibri" w:hAnsi="Calibri" w:cs="Calibri"/>
          <w:i/>
          <w:sz w:val="20"/>
        </w:rPr>
      </w:pPr>
      <w:r>
        <w:rPr>
          <w:rFonts w:ascii="Calibri" w:hAnsi="Calibri" w:cs="Calibri"/>
          <w:i/>
          <w:sz w:val="20"/>
        </w:rPr>
        <w:t>Bearbeiterin</w:t>
      </w:r>
    </w:p>
    <w:p w:rsidR="003736A2" w:rsidRDefault="003736A2" w:rsidP="008816DF">
      <w:pPr>
        <w:suppressLineNumbers/>
        <w:rPr>
          <w:sz w:val="22"/>
          <w:szCs w:val="22"/>
        </w:rPr>
      </w:pPr>
    </w:p>
    <w:sectPr w:rsidR="003736A2" w:rsidSect="008816DF">
      <w:headerReference w:type="default" r:id="rId8"/>
      <w:footerReference w:type="default" r:id="rId9"/>
      <w:pgSz w:w="11906" w:h="16838" w:code="9"/>
      <w:pgMar w:top="1418" w:right="1418" w:bottom="1134"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D3" w:rsidRDefault="009D0FD3" w:rsidP="009D0FD3">
      <w:r>
        <w:separator/>
      </w:r>
    </w:p>
  </w:endnote>
  <w:endnote w:type="continuationSeparator" w:id="0">
    <w:p w:rsidR="009D0FD3" w:rsidRDefault="009D0FD3" w:rsidP="009D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D3" w:rsidRPr="00C84732" w:rsidRDefault="003B69DB" w:rsidP="009D0FD3">
    <w:pPr>
      <w:pStyle w:val="Fuzeile"/>
      <w:tabs>
        <w:tab w:val="clear" w:pos="9072"/>
        <w:tab w:val="left" w:pos="4536"/>
        <w:tab w:val="right" w:pos="9070"/>
      </w:tabs>
      <w:spacing w:before="640" w:after="340"/>
      <w:rPr>
        <w:sz w:val="18"/>
      </w:rPr>
    </w:pPr>
    <w:r>
      <w:rPr>
        <w:noProof/>
        <w:lang w:eastAsia="de-DE"/>
      </w:rPr>
      <mc:AlternateContent>
        <mc:Choice Requires="wps">
          <w:drawing>
            <wp:anchor distT="0" distB="0" distL="114300" distR="114300" simplePos="0" relativeHeight="251661312" behindDoc="0" locked="0" layoutInCell="1" allowOverlap="1" wp14:anchorId="34051BFA" wp14:editId="430F22E2">
              <wp:simplePos x="0" y="0"/>
              <wp:positionH relativeFrom="margin">
                <wp:align>center</wp:align>
              </wp:positionH>
              <wp:positionV relativeFrom="paragraph">
                <wp:posOffset>256141</wp:posOffset>
              </wp:positionV>
              <wp:extent cx="7560310" cy="0"/>
              <wp:effectExtent l="0" t="0" r="2159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03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50198" id="_x0000_t32" coordsize="21600,21600" o:spt="32" o:oned="t" path="m,l21600,21600e" filled="f">
              <v:path arrowok="t" fillok="f" o:connecttype="none"/>
              <o:lock v:ext="edit" shapetype="t"/>
            </v:shapetype>
            <v:shape id="AutoShape 6" o:spid="_x0000_s1026" type="#_x0000_t32" style="position:absolute;margin-left:0;margin-top:20.15pt;width:595.3pt;height:0;flip:x;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" strokecolor="#7f7f7f" strokeweight=".5pt">
              <w10:wrap anchorx="margin"/>
            </v:shape>
          </w:pict>
        </mc:Fallback>
      </mc:AlternateContent>
    </w:r>
    <w:r w:rsidR="009D0FD3">
      <w:rPr>
        <w:noProof/>
        <w:lang w:eastAsia="de-DE"/>
      </w:rPr>
      <w:drawing>
        <wp:anchor distT="0" distB="0" distL="114300" distR="114300" simplePos="0" relativeHeight="251662336" behindDoc="1" locked="1" layoutInCell="1" allowOverlap="1" wp14:anchorId="648304BC" wp14:editId="11599065">
          <wp:simplePos x="0" y="0"/>
          <wp:positionH relativeFrom="column">
            <wp:posOffset>4756150</wp:posOffset>
          </wp:positionH>
          <wp:positionV relativeFrom="margin">
            <wp:posOffset>8701405</wp:posOffset>
          </wp:positionV>
          <wp:extent cx="536575" cy="536575"/>
          <wp:effectExtent l="0" t="0" r="0" b="0"/>
          <wp:wrapTight wrapText="bothSides">
            <wp:wrapPolygon edited="0">
              <wp:start x="0" y="0"/>
              <wp:lineTo x="0" y="20705"/>
              <wp:lineTo x="20705" y="20705"/>
              <wp:lineTo x="20705" y="0"/>
              <wp:lineTo x="0" y="0"/>
            </wp:wrapPolygon>
          </wp:wrapTight>
          <wp:docPr id="8" name="Bild 8"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FD3" w:rsidRPr="00C84732">
      <w:rPr>
        <w:sz w:val="18"/>
      </w:rPr>
      <w:t xml:space="preserve">Seite </w:t>
    </w:r>
    <w:r w:rsidR="009D0FD3" w:rsidRPr="00C84732">
      <w:rPr>
        <w:sz w:val="18"/>
      </w:rPr>
      <w:fldChar w:fldCharType="begin"/>
    </w:r>
    <w:r w:rsidR="009D0FD3" w:rsidRPr="00C84732">
      <w:rPr>
        <w:sz w:val="18"/>
      </w:rPr>
      <w:instrText>PAGE   \* MERGEFORMAT</w:instrText>
    </w:r>
    <w:r w:rsidR="009D0FD3" w:rsidRPr="00C84732">
      <w:rPr>
        <w:sz w:val="18"/>
      </w:rPr>
      <w:fldChar w:fldCharType="separate"/>
    </w:r>
    <w:r w:rsidR="003736A2">
      <w:rPr>
        <w:noProof/>
        <w:sz w:val="18"/>
      </w:rPr>
      <w:t>1</w:t>
    </w:r>
    <w:r w:rsidR="009D0FD3" w:rsidRPr="00C84732">
      <w:rPr>
        <w:sz w:val="18"/>
      </w:rPr>
      <w:fldChar w:fldCharType="end"/>
    </w:r>
    <w:r w:rsidR="009D0FD3">
      <w:rPr>
        <w:sz w:val="18"/>
      </w:rPr>
      <w:tab/>
    </w:r>
    <w:r w:rsidR="009D0FD3" w:rsidRPr="00C84732">
      <w:rPr>
        <w:sz w:val="18"/>
      </w:rPr>
      <w:t>© C.C.Buchner Verlag, Bamberg</w:t>
    </w:r>
  </w:p>
  <w:p w:rsidR="009D0FD3" w:rsidRPr="009D0FD3" w:rsidRDefault="009D0FD3" w:rsidP="009D0F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D3" w:rsidRDefault="009D0FD3" w:rsidP="009D0FD3">
      <w:r>
        <w:separator/>
      </w:r>
    </w:p>
  </w:footnote>
  <w:footnote w:type="continuationSeparator" w:id="0">
    <w:p w:rsidR="009D0FD3" w:rsidRDefault="009D0FD3" w:rsidP="009D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D3" w:rsidRPr="00700695" w:rsidRDefault="009D0FD3" w:rsidP="009D0FD3">
    <w:pPr>
      <w:suppressLineNumbers/>
      <w:spacing w:after="120"/>
      <w:rPr>
        <w:rFonts w:ascii="Calibri" w:hAnsi="Calibri" w:cs="Calibri"/>
      </w:rPr>
    </w:pPr>
    <w:r w:rsidRPr="00700695">
      <w:rPr>
        <w:rFonts w:ascii="Calibri" w:hAnsi="Calibri" w:cs="Calibri"/>
        <w:noProof/>
        <w:sz w:val="18"/>
      </w:rPr>
      <mc:AlternateContent>
        <mc:Choice Requires="wps">
          <w:drawing>
            <wp:anchor distT="0" distB="0" distL="114300" distR="114300" simplePos="0" relativeHeight="251659264" behindDoc="0" locked="0" layoutInCell="1" allowOverlap="1" wp14:anchorId="466DC07C" wp14:editId="7B7E1FD2">
              <wp:simplePos x="0" y="0"/>
              <wp:positionH relativeFrom="page">
                <wp:posOffset>0</wp:posOffset>
              </wp:positionH>
              <wp:positionV relativeFrom="paragraph">
                <wp:posOffset>252095</wp:posOffset>
              </wp:positionV>
              <wp:extent cx="7560310" cy="0"/>
              <wp:effectExtent l="9525" t="13970" r="12065"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03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1F9ED" id="_x0000_t32" coordsize="21600,21600" o:spt="32" o:oned="t" path="m,l21600,21600e" filled="f">
              <v:path arrowok="t" fillok="f" o:connecttype="none"/>
              <o:lock v:ext="edit" shapetype="t"/>
            </v:shapetype>
            <v:shape id="AutoShape 7" o:spid="_x0000_s1026" type="#_x0000_t32" style="position:absolute;margin-left:0;margin-top:19.85pt;width:595.3pt;height: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" strokecolor="#7f7f7f" strokeweight=".5pt">
              <w10:wrap anchorx="page"/>
            </v:shape>
          </w:pict>
        </mc:Fallback>
      </mc:AlternateContent>
    </w:r>
    <w:r w:rsidRPr="00700695">
      <w:rPr>
        <w:rFonts w:ascii="Calibri" w:hAnsi="Calibri" w:cs="Calibri"/>
      </w:rPr>
      <w:t>Politik &amp; Co. – Nordrhein-Westfalen</w:t>
    </w:r>
    <w:r w:rsidRPr="00700695">
      <w:rPr>
        <w:rFonts w:ascii="Calibri" w:hAnsi="Calibri" w:cs="Calibri"/>
        <w:sz w:val="18"/>
      </w:rPr>
      <w:tab/>
      <w:t xml:space="preserve">    </w:t>
    </w:r>
    <w:r w:rsidRPr="00700695">
      <w:rPr>
        <w:rFonts w:ascii="Calibri" w:hAnsi="Calibri" w:cs="Calibri"/>
        <w:sz w:val="18"/>
      </w:rPr>
      <w:tab/>
    </w:r>
    <w:r w:rsidRPr="00700695">
      <w:rPr>
        <w:rFonts w:ascii="Calibri" w:hAnsi="Calibri" w:cs="Calibri"/>
        <w:sz w:val="18"/>
      </w:rPr>
      <w:tab/>
    </w:r>
    <w:r w:rsidRPr="00700695">
      <w:rPr>
        <w:rFonts w:ascii="Calibri" w:hAnsi="Calibri" w:cs="Calibri"/>
        <w:sz w:val="18"/>
      </w:rPr>
      <w:tab/>
    </w:r>
    <w:r w:rsidRPr="00700695">
      <w:rPr>
        <w:rFonts w:ascii="Calibri" w:hAnsi="Calibri" w:cs="Calibri"/>
        <w:sz w:val="18"/>
      </w:rPr>
      <w:tab/>
      <w:t xml:space="preserve">      </w:t>
    </w:r>
    <w:r w:rsidRPr="00700695">
      <w:rPr>
        <w:rFonts w:ascii="Calibri" w:hAnsi="Calibri" w:cs="Calibri"/>
      </w:rPr>
      <w:t xml:space="preserve">Schulbuch, S. </w:t>
    </w:r>
    <w:r w:rsidR="00084483">
      <w:rPr>
        <w:rFonts w:ascii="Calibri" w:hAnsi="Calibri" w:cs="Calibri"/>
      </w:rPr>
      <w:t>3</w:t>
    </w:r>
    <w:r w:rsidR="003736A2">
      <w:rPr>
        <w:rFonts w:ascii="Calibri" w:hAnsi="Calibri" w:cs="Calibri"/>
      </w:rPr>
      <w:t>29</w:t>
    </w:r>
    <w:r w:rsidRPr="00700695">
      <w:rPr>
        <w:rFonts w:ascii="Calibri" w:hAnsi="Calibri" w:cs="Calibri"/>
        <w:sz w:val="18"/>
      </w:rPr>
      <w:t xml:space="preserve">              </w:t>
    </w:r>
  </w:p>
  <w:p w:rsidR="009D0FD3" w:rsidRDefault="009D0F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E6A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C8A8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C7D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F09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9CDD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2D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4C3E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FE6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CE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C31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E9"/>
    <w:rsid w:val="00061FB5"/>
    <w:rsid w:val="00084483"/>
    <w:rsid w:val="000A036F"/>
    <w:rsid w:val="000A48F1"/>
    <w:rsid w:val="000F798B"/>
    <w:rsid w:val="001647E9"/>
    <w:rsid w:val="003736A2"/>
    <w:rsid w:val="00380EC9"/>
    <w:rsid w:val="003B69DB"/>
    <w:rsid w:val="004F00C5"/>
    <w:rsid w:val="00700695"/>
    <w:rsid w:val="00752FE5"/>
    <w:rsid w:val="00795F45"/>
    <w:rsid w:val="008816DF"/>
    <w:rsid w:val="009D0FD3"/>
    <w:rsid w:val="00B20159"/>
    <w:rsid w:val="00B715BF"/>
    <w:rsid w:val="00C27201"/>
    <w:rsid w:val="00D633DC"/>
    <w:rsid w:val="00EF6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722580"/>
  <w15:chartTrackingRefBased/>
  <w15:docId w15:val="{AA438260-A14E-4625-8ED9-DF9371A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16D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64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D0FD3"/>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0FD3"/>
  </w:style>
  <w:style w:type="paragraph" w:styleId="Fuzeile">
    <w:name w:val="footer"/>
    <w:basedOn w:val="Standard"/>
    <w:link w:val="FuzeileZchn"/>
    <w:uiPriority w:val="99"/>
    <w:unhideWhenUsed/>
    <w:rsid w:val="009D0FD3"/>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D0FD3"/>
  </w:style>
  <w:style w:type="paragraph" w:styleId="KeinLeerraum">
    <w:name w:val="No Spacing"/>
    <w:uiPriority w:val="1"/>
    <w:qFormat/>
    <w:rsid w:val="00C27201"/>
    <w:pPr>
      <w:spacing w:after="0" w:line="240" w:lineRule="auto"/>
    </w:pPr>
    <w:rPr>
      <w:rFonts w:ascii="Calibri" w:eastAsia="Calibri" w:hAnsi="Calibri" w:cs="Times New Roman"/>
    </w:rPr>
  </w:style>
  <w:style w:type="paragraph" w:styleId="StandardWeb">
    <w:name w:val="Normal (Web)"/>
    <w:basedOn w:val="Standard"/>
    <w:uiPriority w:val="99"/>
    <w:unhideWhenUsed/>
    <w:rsid w:val="00C27201"/>
    <w:pPr>
      <w:spacing w:before="100" w:beforeAutospacing="1" w:after="100" w:afterAutospacing="1"/>
    </w:pPr>
  </w:style>
  <w:style w:type="character" w:styleId="Zeilennummer">
    <w:name w:val="line number"/>
    <w:basedOn w:val="Absatz-Standardschriftart"/>
    <w:uiPriority w:val="99"/>
    <w:semiHidden/>
    <w:unhideWhenUsed/>
    <w:rsid w:val="008816DF"/>
    <w:rPr>
      <w:sz w:val="18"/>
    </w:rPr>
  </w:style>
  <w:style w:type="character" w:styleId="Hyperlink">
    <w:name w:val="Hyperlink"/>
    <w:basedOn w:val="Absatz-Standardschriftart"/>
    <w:uiPriority w:val="99"/>
    <w:unhideWhenUsed/>
    <w:rsid w:val="00084483"/>
    <w:rPr>
      <w:color w:val="0563C1" w:themeColor="hyperlink"/>
      <w:u w:val="single"/>
    </w:rPr>
  </w:style>
  <w:style w:type="table" w:styleId="Gitternetztabelle1hell">
    <w:name w:val="Grid Table 1 Light"/>
    <w:basedOn w:val="NormaleTabelle"/>
    <w:uiPriority w:val="46"/>
    <w:rsid w:val="000844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CFF7-98C1-4BDD-8744-4D0D451D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Schüller-Ruhl - C.C.Buchner Verlag</dc:creator>
  <cp:keywords/>
  <dc:description/>
  <cp:lastModifiedBy>Schüller-Ruhl - C.C.Buchner Verlag</cp:lastModifiedBy>
  <cp:revision>12</cp:revision>
  <cp:lastPrinted>2022-06-01T12:29:00Z</cp:lastPrinted>
  <dcterms:created xsi:type="dcterms:W3CDTF">2022-03-08T09:40:00Z</dcterms:created>
  <dcterms:modified xsi:type="dcterms:W3CDTF">2022-06-02T09:01:00Z</dcterms:modified>
</cp:coreProperties>
</file>