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7A" w:rsidRDefault="00890E94" w:rsidP="00890E94">
      <w:pPr>
        <w:pStyle w:val="KeinLeerraum"/>
        <w:suppressLineNumbers/>
        <w:spacing w:after="240"/>
        <w:jc w:val="both"/>
        <w:rPr>
          <w:b/>
          <w:color w:val="25408F"/>
          <w:sz w:val="28"/>
        </w:rPr>
      </w:pPr>
      <w:r w:rsidRPr="00890E94">
        <w:rPr>
          <w:b/>
          <w:color w:val="25408F"/>
          <w:sz w:val="28"/>
        </w:rPr>
        <w:t>Wenn doppelte Staatsbürgerschaft, dann mit Generationenschnitt!</w:t>
      </w:r>
    </w:p>
    <w:p w:rsidR="00890E94" w:rsidRPr="00890E94" w:rsidRDefault="00890E94" w:rsidP="00890E94">
      <w:pPr>
        <w:pStyle w:val="KeinLeerraum"/>
        <w:spacing w:line="380" w:lineRule="exact"/>
        <w:jc w:val="both"/>
        <w:rPr>
          <w:sz w:val="24"/>
        </w:rPr>
      </w:pPr>
      <w:r w:rsidRPr="00890E94">
        <w:rPr>
          <w:sz w:val="24"/>
        </w:rPr>
        <w:t xml:space="preserve">Durch das Modell einer doppelten Staatsangehörigkeit mit Generationenschnitt würde Mehrstaatigkeit für eine oder mehrere Übergangsgenerationen </w:t>
      </w:r>
      <w:r w:rsidRPr="00890E94">
        <w:rPr>
          <w:sz w:val="24"/>
        </w:rPr>
        <w:t>ermöglicht</w:t>
      </w:r>
      <w:r w:rsidRPr="00890E94">
        <w:rPr>
          <w:sz w:val="24"/>
        </w:rPr>
        <w:t xml:space="preserve"> und zugleich eine unbegrenzte Weitergabe der Staatsangehörigkeit des Herkunftslandes vermieden. Die automatische Weitergabe der </w:t>
      </w:r>
      <w:r w:rsidRPr="00890E94">
        <w:rPr>
          <w:sz w:val="24"/>
        </w:rPr>
        <w:t>Staatsangehörigkeit</w:t>
      </w:r>
      <w:r w:rsidRPr="00890E94">
        <w:rPr>
          <w:sz w:val="24"/>
        </w:rPr>
        <w:t xml:space="preserve"> an die Nachfahren von Zuwanderern würde in den Fällen gekappt, in denen die Auswanderung bereits mehrere Generationen </w:t>
      </w:r>
      <w:r w:rsidRPr="00890E94">
        <w:rPr>
          <w:sz w:val="24"/>
        </w:rPr>
        <w:t>zurückliegt</w:t>
      </w:r>
      <w:r w:rsidRPr="00890E94">
        <w:rPr>
          <w:sz w:val="24"/>
        </w:rPr>
        <w:t xml:space="preserve"> (sog. Generationenschnitt). Damit soll vermieden werden, dass </w:t>
      </w:r>
      <w:r w:rsidRPr="00890E94">
        <w:rPr>
          <w:sz w:val="24"/>
        </w:rPr>
        <w:t>über</w:t>
      </w:r>
      <w:r w:rsidRPr="00890E94">
        <w:rPr>
          <w:sz w:val="24"/>
        </w:rPr>
        <w:t xml:space="preserve"> Generationen die Staatsangehörigkeit des Herkunftslandes der Vorfahren weitergegeben wird, obwohl zu diesem Land keine oder kaum mehr eine Beziehung besteht. Eine generelle Hinnahme der doppelten </w:t>
      </w:r>
      <w:r w:rsidRPr="00890E94">
        <w:rPr>
          <w:sz w:val="24"/>
        </w:rPr>
        <w:t>Staatsangehörigkeit</w:t>
      </w:r>
      <w:r w:rsidRPr="00890E94">
        <w:rPr>
          <w:sz w:val="24"/>
        </w:rPr>
        <w:t xml:space="preserve"> </w:t>
      </w:r>
      <w:r w:rsidRPr="00890E94">
        <w:rPr>
          <w:sz w:val="24"/>
        </w:rPr>
        <w:t>über</w:t>
      </w:r>
      <w:r w:rsidRPr="00890E94">
        <w:rPr>
          <w:sz w:val="24"/>
        </w:rPr>
        <w:t xml:space="preserve"> Generationen hinweg ist somit nicht vorgesehen. Konkret bedeutet dies, dass die doppelte Staatsangehörigkeit für die in Deutschland geborenen Kinder von Zuwanderern (und ggf. auch für die Enkelgeneration) akzeptiert wird. Gleiches gilt nach dem Modell </w:t>
      </w:r>
      <w:r w:rsidRPr="00890E94">
        <w:rPr>
          <w:sz w:val="24"/>
        </w:rPr>
        <w:t>künftig</w:t>
      </w:r>
      <w:r w:rsidRPr="00890E94">
        <w:rPr>
          <w:sz w:val="24"/>
        </w:rPr>
        <w:t xml:space="preserve"> im Bereich der Einbürgerung von Zuwanderern der ersten Generation. </w:t>
      </w:r>
      <w:r w:rsidRPr="00890E94">
        <w:rPr>
          <w:sz w:val="24"/>
        </w:rPr>
        <w:t>Zusätzlich</w:t>
      </w:r>
      <w:r w:rsidRPr="00890E94">
        <w:rPr>
          <w:sz w:val="24"/>
        </w:rPr>
        <w:t xml:space="preserve"> ist ein Mechanismus vorgesehen, der eine unbegrenzte Weitergabe der Staatsangehörigkeit </w:t>
      </w:r>
      <w:r w:rsidRPr="00890E94">
        <w:rPr>
          <w:sz w:val="24"/>
        </w:rPr>
        <w:t>über</w:t>
      </w:r>
      <w:r w:rsidRPr="00890E94">
        <w:rPr>
          <w:sz w:val="24"/>
        </w:rPr>
        <w:t xml:space="preserve"> das Abstammungsprinzip und damit eine </w:t>
      </w:r>
      <w:r w:rsidRPr="00890E94">
        <w:rPr>
          <w:sz w:val="24"/>
        </w:rPr>
        <w:t>Anhäufung</w:t>
      </w:r>
      <w:r w:rsidRPr="00890E94">
        <w:rPr>
          <w:sz w:val="24"/>
        </w:rPr>
        <w:t xml:space="preserve"> von Mehrfachstaatsangehörigkeiten verhindert. […]</w:t>
      </w:r>
    </w:p>
    <w:p w:rsidR="00890E94" w:rsidRPr="00890E94" w:rsidRDefault="00890E94" w:rsidP="00890E94">
      <w:pPr>
        <w:pStyle w:val="KeinLeerraum"/>
        <w:spacing w:line="380" w:lineRule="exact"/>
        <w:jc w:val="both"/>
        <w:rPr>
          <w:sz w:val="24"/>
        </w:rPr>
      </w:pPr>
      <w:r w:rsidRPr="00890E94">
        <w:rPr>
          <w:sz w:val="24"/>
        </w:rPr>
        <w:t xml:space="preserve">So ist es zum einen problematisch, wenn in einem Land lebende Wohnbürger von der zentralen Form politischer Willensbildung dauerhaft ausgeschlossen sind (sog. Unterinklusion). Dies ist z. B. dann der Fall, wenn </w:t>
      </w:r>
      <w:r w:rsidRPr="00890E94">
        <w:rPr>
          <w:sz w:val="24"/>
        </w:rPr>
        <w:t>langjährig</w:t>
      </w:r>
      <w:r w:rsidRPr="00890E94">
        <w:rPr>
          <w:sz w:val="24"/>
        </w:rPr>
        <w:t xml:space="preserve"> in Deutschland lebende (oder hier geborene) </w:t>
      </w:r>
      <w:r w:rsidRPr="00890E94">
        <w:rPr>
          <w:sz w:val="24"/>
        </w:rPr>
        <w:t>Ausländer</w:t>
      </w:r>
      <w:r w:rsidRPr="00890E94">
        <w:rPr>
          <w:sz w:val="24"/>
        </w:rPr>
        <w:t xml:space="preserve"> nicht die deutsche Staatsangehörigkeit erwerben. Durch die </w:t>
      </w:r>
      <w:r w:rsidRPr="00890E94">
        <w:rPr>
          <w:sz w:val="24"/>
        </w:rPr>
        <w:t>Einführung</w:t>
      </w:r>
      <w:r w:rsidRPr="00890E94">
        <w:rPr>
          <w:sz w:val="24"/>
        </w:rPr>
        <w:t xml:space="preserve"> eines Doppelpasses mit Generationenschnitt würde der Erwerb der deutschen Staatsangehörigkeit für die erste Zuwanderergeneration erheblich erleichtert, da eine der zentralen Einbürgerungshürden abgebaut würde. </w:t>
      </w:r>
    </w:p>
    <w:p w:rsidR="003E277A" w:rsidRDefault="00890E94" w:rsidP="00890E94">
      <w:pPr>
        <w:pStyle w:val="KeinLeerraum"/>
        <w:spacing w:line="380" w:lineRule="exact"/>
        <w:jc w:val="both"/>
        <w:rPr>
          <w:sz w:val="24"/>
        </w:rPr>
      </w:pPr>
      <w:r w:rsidRPr="00890E94">
        <w:rPr>
          <w:sz w:val="24"/>
        </w:rPr>
        <w:t xml:space="preserve">Eine </w:t>
      </w:r>
      <w:r w:rsidRPr="00890E94">
        <w:rPr>
          <w:sz w:val="24"/>
        </w:rPr>
        <w:t>ähnliche</w:t>
      </w:r>
      <w:r w:rsidRPr="00890E94">
        <w:rPr>
          <w:sz w:val="24"/>
        </w:rPr>
        <w:t xml:space="preserve"> Problematik besteht zum anderen auch umgekehrt, wenn Personen in Staaten </w:t>
      </w:r>
      <w:r w:rsidRPr="00890E94">
        <w:rPr>
          <w:sz w:val="24"/>
        </w:rPr>
        <w:t>wählen</w:t>
      </w:r>
      <w:r w:rsidRPr="00890E94">
        <w:rPr>
          <w:sz w:val="24"/>
        </w:rPr>
        <w:t xml:space="preserve"> </w:t>
      </w:r>
      <w:r w:rsidRPr="00890E94">
        <w:rPr>
          <w:sz w:val="24"/>
        </w:rPr>
        <w:t>können</w:t>
      </w:r>
      <w:r w:rsidRPr="00890E94">
        <w:rPr>
          <w:sz w:val="24"/>
        </w:rPr>
        <w:t>, von deren Gesetzgebung sie kaum oder gar nicht betroffen sind und die bereits ihre Vorfahren verlassen haben (sog. Überinklusion). Hinzu kommt in diesem Fall, dass innenpolitische Konflikte aus dem Herkunftsland exportiert und im Einwanderungsland zum Gegens</w:t>
      </w:r>
      <w:r>
        <w:rPr>
          <w:sz w:val="24"/>
        </w:rPr>
        <w:t>tand politischer Auseinanderset</w:t>
      </w:r>
      <w:r w:rsidRPr="00890E94">
        <w:rPr>
          <w:sz w:val="24"/>
        </w:rPr>
        <w:t xml:space="preserve">zungen gemacht werden </w:t>
      </w:r>
      <w:r w:rsidRPr="00890E94">
        <w:rPr>
          <w:sz w:val="24"/>
        </w:rPr>
        <w:t>können</w:t>
      </w:r>
      <w:r w:rsidRPr="00890E94">
        <w:rPr>
          <w:sz w:val="24"/>
        </w:rPr>
        <w:t xml:space="preserve">. Auch diesem Problem </w:t>
      </w:r>
      <w:r w:rsidRPr="00890E94">
        <w:rPr>
          <w:sz w:val="24"/>
        </w:rPr>
        <w:t>trägt</w:t>
      </w:r>
      <w:r w:rsidRPr="00890E94">
        <w:rPr>
          <w:sz w:val="24"/>
        </w:rPr>
        <w:t xml:space="preserve"> der Doppelpass mit Generationenschnitt Rechnung, da Mehrstaatigkeit nur für </w:t>
      </w:r>
      <w:bookmarkStart w:id="0" w:name="_GoBack"/>
      <w:bookmarkEnd w:id="0"/>
      <w:r w:rsidRPr="00890E94">
        <w:rPr>
          <w:sz w:val="24"/>
        </w:rPr>
        <w:t>ein oder zwei Übergangsgenerationen hingenommen, die Weitergabe der Staatsangehörigkeit bei Geburt im Ausland im Generationenverlauf jedoch begrenzt würde.</w:t>
      </w:r>
    </w:p>
    <w:p w:rsidR="00890E94" w:rsidRDefault="00890E94" w:rsidP="00890E94">
      <w:pPr>
        <w:pStyle w:val="KeinLeerraum"/>
        <w:suppressLineNumbers/>
        <w:jc w:val="both"/>
        <w:rPr>
          <w:i/>
          <w:sz w:val="24"/>
        </w:rPr>
      </w:pPr>
    </w:p>
    <w:p w:rsidR="00894378" w:rsidRPr="00890E94" w:rsidRDefault="00890E94" w:rsidP="00890E94">
      <w:pPr>
        <w:pStyle w:val="KeinLeerraum"/>
        <w:suppressLineNumbers/>
        <w:jc w:val="both"/>
        <w:rPr>
          <w:i/>
          <w:sz w:val="20"/>
          <w:szCs w:val="20"/>
        </w:rPr>
      </w:pPr>
      <w:r w:rsidRPr="00890E94">
        <w:rPr>
          <w:i/>
          <w:sz w:val="20"/>
          <w:szCs w:val="20"/>
        </w:rPr>
        <w:t>Sachverständigenrat deutscher Stiftung für Integration und Migration: Der Doppelpass mit Generationenschnitt. In: www.svr-migration.de, 26.06.2017</w:t>
      </w:r>
    </w:p>
    <w:sectPr w:rsidR="00894378" w:rsidRPr="00890E94" w:rsidSect="003E277A">
      <w:headerReference w:type="default" r:id="rId8"/>
      <w:footerReference w:type="default" r:id="rId9"/>
      <w:type w:val="continuous"/>
      <w:pgSz w:w="11906" w:h="16838" w:code="9"/>
      <w:pgMar w:top="1418" w:right="1418" w:bottom="1134"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D3" w:rsidRDefault="009D0FD3" w:rsidP="009D0FD3">
      <w:r>
        <w:separator/>
      </w:r>
    </w:p>
  </w:endnote>
  <w:endnote w:type="continuationSeparator" w:id="0">
    <w:p w:rsidR="009D0FD3" w:rsidRDefault="009D0FD3" w:rsidP="009D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D3" w:rsidRPr="00C84732" w:rsidRDefault="003B69DB" w:rsidP="009D0FD3">
    <w:pPr>
      <w:pStyle w:val="Fuzeile"/>
      <w:tabs>
        <w:tab w:val="clear" w:pos="9072"/>
        <w:tab w:val="left" w:pos="4536"/>
        <w:tab w:val="right" w:pos="9070"/>
      </w:tabs>
      <w:spacing w:before="640" w:after="340"/>
      <w:rPr>
        <w:sz w:val="18"/>
      </w:rPr>
    </w:pPr>
    <w:r>
      <w:rPr>
        <w:noProof/>
        <w:lang w:eastAsia="de-DE"/>
      </w:rPr>
      <mc:AlternateContent>
        <mc:Choice Requires="wps">
          <w:drawing>
            <wp:anchor distT="0" distB="0" distL="114300" distR="114300" simplePos="0" relativeHeight="251661312" behindDoc="0" locked="0" layoutInCell="1" allowOverlap="1" wp14:anchorId="34051BFA" wp14:editId="430F22E2">
              <wp:simplePos x="0" y="0"/>
              <wp:positionH relativeFrom="margin">
                <wp:align>center</wp:align>
              </wp:positionH>
              <wp:positionV relativeFrom="paragraph">
                <wp:posOffset>256141</wp:posOffset>
              </wp:positionV>
              <wp:extent cx="7560310" cy="0"/>
              <wp:effectExtent l="0" t="0" r="2159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24BD4" id="_x0000_t32" coordsize="21600,21600" o:spt="32" o:oned="t" path="m,l21600,21600e" filled="f">
              <v:path arrowok="t" fillok="f" o:connecttype="none"/>
              <o:lock v:ext="edit" shapetype="t"/>
            </v:shapetype>
            <v:shape id="AutoShape 6" o:spid="_x0000_s1026" type="#_x0000_t32" style="position:absolute;margin-left:0;margin-top:20.15pt;width:595.3pt;height:0;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" strokecolor="#7f7f7f" strokeweight=".5pt">
              <w10:wrap anchorx="margin"/>
            </v:shape>
          </w:pict>
        </mc:Fallback>
      </mc:AlternateContent>
    </w:r>
    <w:r w:rsidR="009D0FD3">
      <w:rPr>
        <w:noProof/>
        <w:lang w:eastAsia="de-DE"/>
      </w:rPr>
      <w:drawing>
        <wp:anchor distT="0" distB="0" distL="114300" distR="114300" simplePos="0" relativeHeight="251662336" behindDoc="1" locked="1" layoutInCell="1" allowOverlap="1" wp14:anchorId="648304BC" wp14:editId="11599065">
          <wp:simplePos x="0" y="0"/>
          <wp:positionH relativeFrom="column">
            <wp:posOffset>4756150</wp:posOffset>
          </wp:positionH>
          <wp:positionV relativeFrom="margin">
            <wp:posOffset>8701405</wp:posOffset>
          </wp:positionV>
          <wp:extent cx="536575" cy="536575"/>
          <wp:effectExtent l="0" t="0" r="0" b="0"/>
          <wp:wrapTight wrapText="bothSides">
            <wp:wrapPolygon edited="0">
              <wp:start x="0" y="0"/>
              <wp:lineTo x="0" y="20705"/>
              <wp:lineTo x="20705" y="20705"/>
              <wp:lineTo x="20705" y="0"/>
              <wp:lineTo x="0" y="0"/>
            </wp:wrapPolygon>
          </wp:wrapTight>
          <wp:docPr id="4" name="Bild 8"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FD3" w:rsidRPr="00C84732">
      <w:rPr>
        <w:sz w:val="18"/>
      </w:rPr>
      <w:t xml:space="preserve">Seite </w:t>
    </w:r>
    <w:r w:rsidR="009D0FD3" w:rsidRPr="00C84732">
      <w:rPr>
        <w:sz w:val="18"/>
      </w:rPr>
      <w:fldChar w:fldCharType="begin"/>
    </w:r>
    <w:r w:rsidR="009D0FD3" w:rsidRPr="00C84732">
      <w:rPr>
        <w:sz w:val="18"/>
      </w:rPr>
      <w:instrText>PAGE   \* MERGEFORMAT</w:instrText>
    </w:r>
    <w:r w:rsidR="009D0FD3" w:rsidRPr="00C84732">
      <w:rPr>
        <w:sz w:val="18"/>
      </w:rPr>
      <w:fldChar w:fldCharType="separate"/>
    </w:r>
    <w:r w:rsidR="00890E94">
      <w:rPr>
        <w:noProof/>
        <w:sz w:val="18"/>
      </w:rPr>
      <w:t>1</w:t>
    </w:r>
    <w:r w:rsidR="009D0FD3" w:rsidRPr="00C84732">
      <w:rPr>
        <w:sz w:val="18"/>
      </w:rPr>
      <w:fldChar w:fldCharType="end"/>
    </w:r>
    <w:r w:rsidR="009D0FD3">
      <w:rPr>
        <w:sz w:val="18"/>
      </w:rPr>
      <w:tab/>
    </w:r>
    <w:r w:rsidR="009D0FD3" w:rsidRPr="00C84732">
      <w:rPr>
        <w:sz w:val="18"/>
      </w:rPr>
      <w:t>© C.C.Buchner Verlag, Bamberg</w:t>
    </w:r>
  </w:p>
  <w:p w:rsidR="009D0FD3" w:rsidRPr="009D0FD3" w:rsidRDefault="009D0FD3" w:rsidP="009D0F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D3" w:rsidRDefault="009D0FD3" w:rsidP="009D0FD3">
      <w:r>
        <w:separator/>
      </w:r>
    </w:p>
  </w:footnote>
  <w:footnote w:type="continuationSeparator" w:id="0">
    <w:p w:rsidR="009D0FD3" w:rsidRDefault="009D0FD3" w:rsidP="009D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D3" w:rsidRPr="00700695" w:rsidRDefault="009D0FD3" w:rsidP="009D0FD3">
    <w:pPr>
      <w:suppressLineNumbers/>
      <w:spacing w:after="120"/>
      <w:rPr>
        <w:rFonts w:ascii="Calibri" w:hAnsi="Calibri" w:cs="Calibri"/>
      </w:rPr>
    </w:pPr>
    <w:r w:rsidRPr="00700695">
      <w:rPr>
        <w:rFonts w:ascii="Calibri" w:hAnsi="Calibri" w:cs="Calibri"/>
        <w:noProof/>
        <w:sz w:val="18"/>
      </w:rPr>
      <mc:AlternateContent>
        <mc:Choice Requires="wps">
          <w:drawing>
            <wp:anchor distT="0" distB="0" distL="114300" distR="114300" simplePos="0" relativeHeight="251659264" behindDoc="0" locked="0" layoutInCell="1" allowOverlap="1" wp14:anchorId="466DC07C" wp14:editId="7B7E1FD2">
              <wp:simplePos x="0" y="0"/>
              <wp:positionH relativeFrom="page">
                <wp:posOffset>0</wp:posOffset>
              </wp:positionH>
              <wp:positionV relativeFrom="paragraph">
                <wp:posOffset>252095</wp:posOffset>
              </wp:positionV>
              <wp:extent cx="7560310" cy="0"/>
              <wp:effectExtent l="9525" t="13970" r="1206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82CCB" id="_x0000_t32" coordsize="21600,21600" o:spt="32" o:oned="t" path="m,l21600,21600e" filled="f">
              <v:path arrowok="t" fillok="f" o:connecttype="none"/>
              <o:lock v:ext="edit" shapetype="t"/>
            </v:shapetype>
            <v:shape id="AutoShape 7" o:spid="_x0000_s1026" type="#_x0000_t32" style="position:absolute;margin-left:0;margin-top:19.85pt;width:595.3pt;height: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" strokecolor="#7f7f7f" strokeweight=".5pt">
              <w10:wrap anchorx="page"/>
            </v:shape>
          </w:pict>
        </mc:Fallback>
      </mc:AlternateContent>
    </w:r>
    <w:r w:rsidRPr="00700695">
      <w:rPr>
        <w:rFonts w:ascii="Calibri" w:hAnsi="Calibri" w:cs="Calibri"/>
      </w:rPr>
      <w:t>Politik &amp; Co. – Nordrhein-Westfalen</w:t>
    </w:r>
    <w:r w:rsidRPr="00700695">
      <w:rPr>
        <w:rFonts w:ascii="Calibri" w:hAnsi="Calibri" w:cs="Calibri"/>
        <w:sz w:val="18"/>
      </w:rPr>
      <w:tab/>
      <w:t xml:space="preserve">    </w:t>
    </w:r>
    <w:r w:rsidRPr="00700695">
      <w:rPr>
        <w:rFonts w:ascii="Calibri" w:hAnsi="Calibri" w:cs="Calibri"/>
        <w:sz w:val="18"/>
      </w:rPr>
      <w:tab/>
    </w:r>
    <w:r w:rsidRPr="00700695">
      <w:rPr>
        <w:rFonts w:ascii="Calibri" w:hAnsi="Calibri" w:cs="Calibri"/>
        <w:sz w:val="18"/>
      </w:rPr>
      <w:tab/>
    </w:r>
    <w:r w:rsidRPr="00700695">
      <w:rPr>
        <w:rFonts w:ascii="Calibri" w:hAnsi="Calibri" w:cs="Calibri"/>
        <w:sz w:val="18"/>
      </w:rPr>
      <w:tab/>
    </w:r>
    <w:r w:rsidRPr="00700695">
      <w:rPr>
        <w:rFonts w:ascii="Calibri" w:hAnsi="Calibri" w:cs="Calibri"/>
        <w:sz w:val="18"/>
      </w:rPr>
      <w:tab/>
      <w:t xml:space="preserve">      </w:t>
    </w:r>
    <w:r w:rsidRPr="00700695">
      <w:rPr>
        <w:rFonts w:ascii="Calibri" w:hAnsi="Calibri" w:cs="Calibri"/>
      </w:rPr>
      <w:t xml:space="preserve">Schulbuch, S. </w:t>
    </w:r>
    <w:r w:rsidR="00890E94">
      <w:rPr>
        <w:rFonts w:ascii="Calibri" w:hAnsi="Calibri" w:cs="Calibri"/>
      </w:rPr>
      <w:t>28</w:t>
    </w:r>
    <w:r w:rsidR="003E277A">
      <w:rPr>
        <w:rFonts w:ascii="Calibri" w:hAnsi="Calibri" w:cs="Calibri"/>
      </w:rPr>
      <w:t>8</w:t>
    </w:r>
    <w:r w:rsidRPr="00700695">
      <w:rPr>
        <w:rFonts w:ascii="Calibri" w:hAnsi="Calibri" w:cs="Calibri"/>
        <w:sz w:val="18"/>
      </w:rPr>
      <w:t xml:space="preserve">            </w:t>
    </w:r>
  </w:p>
  <w:p w:rsidR="009D0FD3" w:rsidRDefault="009D0F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88B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A0A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B01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AE4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380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6F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5CF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A4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70C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744E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E9"/>
    <w:rsid w:val="00042202"/>
    <w:rsid w:val="00061FB5"/>
    <w:rsid w:val="001647E9"/>
    <w:rsid w:val="00380EC9"/>
    <w:rsid w:val="003B69DB"/>
    <w:rsid w:val="003E277A"/>
    <w:rsid w:val="00700695"/>
    <w:rsid w:val="00752FE5"/>
    <w:rsid w:val="00795F45"/>
    <w:rsid w:val="00890E94"/>
    <w:rsid w:val="00894378"/>
    <w:rsid w:val="0093222E"/>
    <w:rsid w:val="009D0FD3"/>
    <w:rsid w:val="00B20159"/>
    <w:rsid w:val="00B715BF"/>
    <w:rsid w:val="00C27201"/>
    <w:rsid w:val="00EF6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D9141"/>
  <w15:chartTrackingRefBased/>
  <w15:docId w15:val="{AA438260-A14E-4625-8ED9-DF9371A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437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0FD3"/>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0FD3"/>
  </w:style>
  <w:style w:type="paragraph" w:styleId="Fuzeile">
    <w:name w:val="footer"/>
    <w:basedOn w:val="Standard"/>
    <w:link w:val="FuzeileZchn"/>
    <w:uiPriority w:val="99"/>
    <w:unhideWhenUsed/>
    <w:rsid w:val="009D0FD3"/>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D0FD3"/>
  </w:style>
  <w:style w:type="paragraph" w:styleId="KeinLeerraum">
    <w:name w:val="No Spacing"/>
    <w:uiPriority w:val="1"/>
    <w:qFormat/>
    <w:rsid w:val="00C27201"/>
    <w:pPr>
      <w:spacing w:after="0" w:line="240" w:lineRule="auto"/>
    </w:pPr>
    <w:rPr>
      <w:rFonts w:ascii="Calibri" w:eastAsia="Calibri" w:hAnsi="Calibri" w:cs="Times New Roman"/>
    </w:rPr>
  </w:style>
  <w:style w:type="paragraph" w:styleId="StandardWeb">
    <w:name w:val="Normal (Web)"/>
    <w:basedOn w:val="Standard"/>
    <w:uiPriority w:val="99"/>
    <w:unhideWhenUsed/>
    <w:rsid w:val="00C27201"/>
    <w:pPr>
      <w:spacing w:before="100" w:beforeAutospacing="1" w:after="100" w:afterAutospacing="1"/>
    </w:pPr>
  </w:style>
  <w:style w:type="character" w:styleId="Zeilennummer">
    <w:name w:val="line number"/>
    <w:uiPriority w:val="99"/>
    <w:unhideWhenUsed/>
    <w:rsid w:val="00894378"/>
    <w:rPr>
      <w:rFonts w:ascii="Calibri" w:hAnsi="Calibri"/>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65CD-C324-4DF6-91C1-4A35E73F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Schüller-Ruhl - C.C.Buchner Verlag</dc:creator>
  <cp:keywords/>
  <dc:description/>
  <cp:lastModifiedBy>Schüller-Ruhl - C.C.Buchner Verlag</cp:lastModifiedBy>
  <cp:revision>6</cp:revision>
  <cp:lastPrinted>2022-03-14T10:27:00Z</cp:lastPrinted>
  <dcterms:created xsi:type="dcterms:W3CDTF">2022-03-14T10:14:00Z</dcterms:created>
  <dcterms:modified xsi:type="dcterms:W3CDTF">2022-06-03T05:36:00Z</dcterms:modified>
</cp:coreProperties>
</file>