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03"/>
        <w:gridCol w:w="5869"/>
      </w:tblGrid>
      <w:tr w:rsidR="00D61B00" w:rsidTr="00C2017C">
        <w:tc>
          <w:tcPr>
            <w:tcW w:w="9529" w:type="dxa"/>
            <w:gridSpan w:val="2"/>
          </w:tcPr>
          <w:p w:rsidR="00D61B00" w:rsidRDefault="00D61B00">
            <w:bookmarkStart w:id="0" w:name="_GoBack"/>
            <w:bookmarkEnd w:id="0"/>
          </w:p>
          <w:p w:rsidR="00D61B00" w:rsidRDefault="00D61B00"/>
          <w:p w:rsidR="00D61B00" w:rsidRDefault="00D61B00"/>
          <w:p w:rsidR="00D61B00" w:rsidRDefault="00D61B00"/>
          <w:p w:rsidR="002171FC" w:rsidRDefault="002171FC"/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Default="002171FC">
            <w:r w:rsidRPr="00A755AE"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63E940B5" wp14:editId="06645CD0">
                  <wp:simplePos x="0" y="0"/>
                  <wp:positionH relativeFrom="column">
                    <wp:posOffset>-56625</wp:posOffset>
                  </wp:positionH>
                  <wp:positionV relativeFrom="paragraph">
                    <wp:posOffset>1028053</wp:posOffset>
                  </wp:positionV>
                  <wp:extent cx="2681605" cy="3571291"/>
                  <wp:effectExtent l="0" t="0" r="4445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import_cover\cover_verarbeitet\c3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357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B00" w:rsidTr="00C2017C">
        <w:tc>
          <w:tcPr>
            <w:tcW w:w="9529" w:type="dxa"/>
            <w:gridSpan w:val="2"/>
          </w:tcPr>
          <w:p w:rsidR="00D61B00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A755AE">
              <w:rPr>
                <w:b/>
                <w:sz w:val="40"/>
                <w:szCs w:val="40"/>
              </w:rPr>
              <w:t xml:space="preserve">Synopse zum </w:t>
            </w:r>
            <w:r w:rsidR="006F2378">
              <w:rPr>
                <w:b/>
                <w:sz w:val="40"/>
                <w:szCs w:val="40"/>
              </w:rPr>
              <w:t>Pflichtmodul</w:t>
            </w:r>
          </w:p>
          <w:p w:rsidR="00D61B00" w:rsidRDefault="006F2378" w:rsidP="006F2378">
            <w:pPr>
              <w:ind w:firstLine="709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„</w:t>
            </w:r>
            <w:r w:rsidR="0088519A">
              <w:rPr>
                <w:b/>
                <w:sz w:val="40"/>
                <w:szCs w:val="40"/>
              </w:rPr>
              <w:t>Mythen</w:t>
            </w:r>
            <w:r>
              <w:rPr>
                <w:b/>
                <w:sz w:val="40"/>
                <w:szCs w:val="40"/>
              </w:rPr>
              <w:t>“</w:t>
            </w:r>
          </w:p>
          <w:p w:rsidR="00D61B00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D61B00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Default="00D61B00"/>
        </w:tc>
        <w:tc>
          <w:tcPr>
            <w:tcW w:w="5869" w:type="dxa"/>
            <w:vMerge w:val="restart"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  <w:gridSpan w:val="2"/>
          </w:tcPr>
          <w:p w:rsidR="00D61B00" w:rsidRPr="00733978" w:rsidRDefault="006F2378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>
              <w:rPr>
                <w:rFonts w:eastAsiaTheme="majorEastAsia" w:cstheme="majorBidi"/>
                <w:b/>
                <w:sz w:val="40"/>
                <w:szCs w:val="40"/>
              </w:rPr>
              <w:t>Buchners Kolleg Geschichte</w:t>
            </w:r>
            <w:r w:rsidR="00D61B00" w:rsidRPr="00733978">
              <w:rPr>
                <w:rFonts w:eastAsiaTheme="majorEastAsia" w:cstheme="majorBidi"/>
                <w:b/>
                <w:sz w:val="40"/>
                <w:szCs w:val="40"/>
              </w:rPr>
              <w:t xml:space="preserve"> – </w:t>
            </w:r>
          </w:p>
          <w:p w:rsidR="00D61B00" w:rsidRPr="00733978" w:rsidRDefault="00D61B00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40"/>
                <w:szCs w:val="40"/>
              </w:rPr>
            </w:pPr>
            <w:r w:rsidRPr="00733978">
              <w:rPr>
                <w:rFonts w:eastAsiaTheme="majorEastAsia" w:cstheme="majorBidi"/>
                <w:b/>
                <w:sz w:val="40"/>
                <w:szCs w:val="40"/>
              </w:rPr>
              <w:t>Ausgabe Niedersachsen</w:t>
            </w:r>
          </w:p>
          <w:p w:rsidR="00D61B00" w:rsidRPr="00733978" w:rsidRDefault="006F2378" w:rsidP="00D61B00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Abitur 2018</w:t>
            </w:r>
          </w:p>
          <w:p w:rsidR="00D61B00" w:rsidRPr="002171FC" w:rsidRDefault="006F2378" w:rsidP="002171FC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(ISBN 978-3-661-32017-5</w:t>
            </w:r>
            <w:r w:rsidR="00D61B00" w:rsidRPr="00733978">
              <w:rPr>
                <w:rFonts w:eastAsiaTheme="majorEastAsia" w:cstheme="majorBidi"/>
                <w:sz w:val="40"/>
                <w:szCs w:val="40"/>
              </w:rPr>
              <w:t>)</w:t>
            </w:r>
          </w:p>
        </w:tc>
        <w:tc>
          <w:tcPr>
            <w:tcW w:w="5869" w:type="dxa"/>
            <w:vMerge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  <w:gridSpan w:val="2"/>
          </w:tcPr>
          <w:p w:rsidR="00D61B00" w:rsidRDefault="00D61B00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</w:tc>
        <w:tc>
          <w:tcPr>
            <w:tcW w:w="5869" w:type="dxa"/>
            <w:shd w:val="clear" w:color="auto" w:fill="C00000"/>
          </w:tcPr>
          <w:p w:rsidR="00D61B00" w:rsidRDefault="00D61B00"/>
        </w:tc>
      </w:tr>
      <w:tr w:rsidR="00D61B00" w:rsidRPr="00465CE4" w:rsidTr="00C2017C">
        <w:tc>
          <w:tcPr>
            <w:tcW w:w="9529" w:type="dxa"/>
            <w:gridSpan w:val="2"/>
          </w:tcPr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Pr="006F2378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C17294" wp14:editId="54559053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5DB">
              <w:rPr>
                <w:b/>
                <w:color w:val="FFFFFF" w:themeColor="background1"/>
              </w:rPr>
              <w:t>C.C.Buchner Verlag GmbH &amp; Co.</w:t>
            </w:r>
            <w:r>
              <w:rPr>
                <w:b/>
                <w:color w:val="FFFFFF" w:themeColor="background1"/>
              </w:rPr>
              <w:t xml:space="preserve"> </w:t>
            </w:r>
            <w:r w:rsidRPr="006F2378">
              <w:rPr>
                <w:b/>
                <w:color w:val="FFFFFF" w:themeColor="background1"/>
                <w:lang w:val="pl-PL"/>
              </w:rPr>
              <w:t>KG</w:t>
            </w:r>
          </w:p>
          <w:p w:rsidR="00D61B00" w:rsidRPr="006F2378" w:rsidRDefault="00D61B00" w:rsidP="00D61B00">
            <w:pPr>
              <w:pStyle w:val="KeinLeerraum"/>
              <w:spacing w:line="360" w:lineRule="auto"/>
              <w:rPr>
                <w:rFonts w:ascii="Calibri" w:hAnsi="Calibri" w:cs="Arial"/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Telefon +49 951 16098-200</w:t>
            </w:r>
          </w:p>
          <w:p w:rsidR="00D61B00" w:rsidRPr="006F2378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www.ccbuchner.de</w:t>
            </w:r>
          </w:p>
        </w:tc>
      </w:tr>
      <w:tr w:rsidR="002E4872" w:rsidRPr="008B45A2" w:rsidTr="00274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98" w:type="dxa"/>
            <w:gridSpan w:val="3"/>
            <w:shd w:val="clear" w:color="auto" w:fill="C00000"/>
          </w:tcPr>
          <w:p w:rsidR="001F5A91" w:rsidRPr="001F5A91" w:rsidRDefault="001F5A91" w:rsidP="001F5A91">
            <w:pPr>
              <w:spacing w:before="80" w:after="80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lastRenderedPageBreak/>
              <w:t>Inhaltliche Schwerpunkte des Lehrplans:</w:t>
            </w:r>
          </w:p>
          <w:p w:rsidR="001F5A91" w:rsidRPr="001F5A91" w:rsidRDefault="001F5A91" w:rsidP="001F5A91">
            <w:pPr>
              <w:spacing w:before="80" w:after="80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t xml:space="preserve">1. Beispiele von Mythen </w:t>
            </w:r>
          </w:p>
          <w:p w:rsidR="001F5A91" w:rsidRPr="001F5A91" w:rsidRDefault="001F5A91" w:rsidP="001F5A91">
            <w:pPr>
              <w:spacing w:before="80" w:after="80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t>2. Analyse und Dekonstruktion der Inhalte und Intentionen</w:t>
            </w:r>
          </w:p>
          <w:p w:rsidR="002E4872" w:rsidRPr="008B45A2" w:rsidRDefault="001F5A91" w:rsidP="001F5A91">
            <w:pPr>
              <w:spacing w:before="80" w:after="80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t>3. Rekonstruktion</w:t>
            </w:r>
          </w:p>
        </w:tc>
      </w:tr>
      <w:tr w:rsidR="002E4872" w:rsidRPr="008B45A2" w:rsidTr="00274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:rsidR="001F5A91" w:rsidRPr="001F5A91" w:rsidRDefault="001F5A91" w:rsidP="001F5A91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t>Kapitel</w:t>
            </w:r>
          </w:p>
          <w:p w:rsidR="001F5A91" w:rsidRPr="001F5A91" w:rsidRDefault="001F5A91" w:rsidP="001F5A91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Mythen, Seite 422 bis 441 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 xml:space="preserve">Einführung in das Thema „Mythen“, Begriffsdefinition 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5A91">
              <w:rPr>
                <w:sz w:val="24"/>
                <w:szCs w:val="24"/>
              </w:rPr>
              <w:t>(Darstellung: Seite 422)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1F5A91" w:rsidRPr="001F5A91" w:rsidRDefault="001F5A91" w:rsidP="001F5A91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Mythen der Nationen: Arminius – „Gründungsvater“ der Deutschen?, 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Seite 423 bis 429 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>Arminius und die „Schlacht im Teutoburger Wald“ (Varusschlacht)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5A91">
              <w:rPr>
                <w:sz w:val="24"/>
                <w:szCs w:val="24"/>
              </w:rPr>
              <w:t>(Darstellung: Seite 423; Mat</w:t>
            </w:r>
            <w:r>
              <w:rPr>
                <w:sz w:val="24"/>
                <w:szCs w:val="24"/>
              </w:rPr>
              <w:t>erial: M1 und M2, Seite 427 f.)</w:t>
            </w:r>
          </w:p>
          <w:p w:rsidR="002E4872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>Arminius als „Befreier Germaniens“? (Darstellung: Seite 423 f.)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>Begriff „Ger</w:t>
            </w:r>
            <w:r>
              <w:rPr>
                <w:sz w:val="24"/>
                <w:szCs w:val="24"/>
              </w:rPr>
              <w:t>manen“ (Darstellung: Seite 424)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 xml:space="preserve">„Erfindung“ der deutschen </w:t>
            </w:r>
            <w:r>
              <w:rPr>
                <w:sz w:val="24"/>
                <w:szCs w:val="24"/>
              </w:rPr>
              <w:t>Nation (Darstellung: Seite 425)</w:t>
            </w:r>
          </w:p>
          <w:p w:rsidR="001F5A91" w:rsidRPr="001F5A91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>„</w:t>
            </w:r>
            <w:proofErr w:type="spellStart"/>
            <w:r w:rsidRPr="001F5A91">
              <w:rPr>
                <w:sz w:val="24"/>
                <w:szCs w:val="24"/>
              </w:rPr>
              <w:t>Hermannsmythos</w:t>
            </w:r>
            <w:proofErr w:type="spellEnd"/>
            <w:r w:rsidRPr="001F5A91">
              <w:rPr>
                <w:sz w:val="24"/>
                <w:szCs w:val="24"/>
              </w:rPr>
              <w:t xml:space="preserve">“ als nationaler Mythos </w:t>
            </w:r>
          </w:p>
          <w:p w:rsidR="001F5A91" w:rsidRPr="008B45A2" w:rsidRDefault="001F5A91" w:rsidP="001F5A91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5A91">
              <w:rPr>
                <w:sz w:val="24"/>
                <w:szCs w:val="24"/>
              </w:rPr>
              <w:t>(Darstellung: Seite 425 f.; Material: M3, Seite 428 f.)</w:t>
            </w:r>
          </w:p>
        </w:tc>
        <w:tc>
          <w:tcPr>
            <w:tcW w:w="6472" w:type="dxa"/>
            <w:gridSpan w:val="2"/>
          </w:tcPr>
          <w:p w:rsidR="001F5A91" w:rsidRPr="001F5A91" w:rsidRDefault="001F5A91" w:rsidP="001F5A91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t>Vernetzungsmöglichkeiten</w:t>
            </w:r>
          </w:p>
          <w:p w:rsidR="001F5A91" w:rsidRPr="001F5A91" w:rsidRDefault="001F5A91" w:rsidP="001F5A91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>Politische Mythen und ihre Funktionen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(Theorie-Baustein: Nation – Begriff und Mythos, 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Seite 380 bis 385, siehe dort vor allem die Darstellung </w:t>
            </w:r>
          </w:p>
          <w:p w:rsidR="001F5A91" w:rsidRP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auf Seite 380 f. und M4, Seite 384;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Deutsches Selbstverständnis nach 1945, Seite 386 bis 418,</w:t>
            </w:r>
          </w:p>
          <w:p w:rsidR="001F5A91" w:rsidRP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siehe vor allem M10, Seite 410 f.)</w:t>
            </w:r>
          </w:p>
          <w:p w:rsidR="001F5A91" w:rsidRPr="001F5A91" w:rsidRDefault="001F5A91" w:rsidP="001F5A91">
            <w:pPr>
              <w:spacing w:before="80" w:after="80"/>
              <w:ind w:left="459"/>
              <w:rPr>
                <w:sz w:val="10"/>
                <w:szCs w:val="10"/>
              </w:rPr>
            </w:pPr>
          </w:p>
          <w:p w:rsidR="001F5A91" w:rsidRPr="001F5A91" w:rsidRDefault="001F5A91" w:rsidP="001F5A91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Weitere Beispiele von Mythen (Auswahl):</w:t>
            </w:r>
          </w:p>
          <w:p w:rsidR="001F5A91" w:rsidRPr="001F5A91" w:rsidRDefault="001F5A91" w:rsidP="001F5A91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Mythen um Luther 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(Anfänge und Verlauf der Reformation, Seite 56 bis 63, 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Abbildung: Seite 56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(Thesenanschlag), Abbildung: Seite 58 (Reichstag in 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Worms); Geschichts- und Erinnerungskultur: </w:t>
            </w:r>
          </w:p>
          <w:p w:rsidR="001F5A91" w:rsidRP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das Lutherb</w:t>
            </w:r>
            <w:r w:rsidR="00465CE4">
              <w:rPr>
                <w:sz w:val="24"/>
                <w:szCs w:val="24"/>
              </w:rPr>
              <w:t>ild im Wandel, Seite 64 bis 66)</w:t>
            </w:r>
          </w:p>
          <w:p w:rsidR="001F5A91" w:rsidRPr="001F5A91" w:rsidRDefault="001F5A91" w:rsidP="001F5A91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„Reichsmythos“ 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(Theorie-Baustein: Deutschlands Weg in den 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Nationalsozialismus – ein Sonderweg?, Seite 347 bis 351, </w:t>
            </w:r>
          </w:p>
          <w:p w:rsidR="001F5A91" w:rsidRPr="001F5A91" w:rsidRDefault="00465CE4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siehe vor allem M3, Seite 350)</w:t>
            </w:r>
          </w:p>
          <w:p w:rsidR="001F5A91" w:rsidRPr="001F5A91" w:rsidRDefault="001F5A91" w:rsidP="001F5A91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Mythos des „Integrationswunders“ </w:t>
            </w:r>
          </w:p>
          <w:p w:rsidR="001F5A91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(Rasche Integration der Flüchtlinge und Vertriebenen?, </w:t>
            </w:r>
          </w:p>
          <w:p w:rsidR="001F5A91" w:rsidRPr="008B45A2" w:rsidRDefault="001F5A91" w:rsidP="001F5A91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Seite 192 bis 197, siehe vor allem M4, Seite 197)</w:t>
            </w:r>
          </w:p>
        </w:tc>
      </w:tr>
    </w:tbl>
    <w:p w:rsidR="00274AF1" w:rsidRDefault="00274AF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274AF1" w:rsidRPr="008B45A2" w:rsidTr="00242AE5">
        <w:tc>
          <w:tcPr>
            <w:tcW w:w="8926" w:type="dxa"/>
          </w:tcPr>
          <w:p w:rsidR="00274AF1" w:rsidRPr="001F5A91" w:rsidRDefault="00274AF1" w:rsidP="00242AE5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Der 14. Juli – ein Mythos?, Seite 430 bis 435 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>Nationale Symbolik am 14. Juli (Da</w:t>
            </w:r>
            <w:r>
              <w:rPr>
                <w:sz w:val="24"/>
                <w:szCs w:val="24"/>
              </w:rPr>
              <w:t>rstellung: Seite 430)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 xml:space="preserve">Was machte den 14. Juli zum Mythos? 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5A91">
              <w:rPr>
                <w:sz w:val="24"/>
                <w:szCs w:val="24"/>
              </w:rPr>
              <w:t>(Darstellung: Seite 431; Material</w:t>
            </w:r>
            <w:r>
              <w:rPr>
                <w:sz w:val="24"/>
                <w:szCs w:val="24"/>
              </w:rPr>
              <w:t>: M1 bis M5, Seite 433 bis 435)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>historische Bedeutung des „Bastille-Sturms“ (Darstellung: Seite 432)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274AF1" w:rsidRPr="001F5A91" w:rsidRDefault="00274AF1" w:rsidP="00242AE5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Ostalgie, Seite 436 bis 441 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>Von der Euphorie zur Ernüchterung: Wiedervereinigung und Folgen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(Darstellung: Seite 436)</w:t>
            </w:r>
          </w:p>
          <w:p w:rsidR="00274AF1" w:rsidRPr="001F5A91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1F5A91">
              <w:rPr>
                <w:sz w:val="24"/>
                <w:szCs w:val="24"/>
              </w:rPr>
              <w:t xml:space="preserve">nostalgische Verklärung der DDR („Ostalgie“) </w:t>
            </w:r>
          </w:p>
          <w:p w:rsidR="00274AF1" w:rsidRPr="008B45A2" w:rsidRDefault="00274AF1" w:rsidP="00242AE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5A91">
              <w:rPr>
                <w:sz w:val="24"/>
                <w:szCs w:val="24"/>
              </w:rPr>
              <w:t>(Darstellung: Seite 436; M1 bis M5, Seite 437 bis 441)</w:t>
            </w:r>
          </w:p>
        </w:tc>
        <w:tc>
          <w:tcPr>
            <w:tcW w:w="6462" w:type="dxa"/>
          </w:tcPr>
          <w:p w:rsidR="00274AF1" w:rsidRPr="001F5A91" w:rsidRDefault="00274AF1" w:rsidP="00242AE5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Rahmenthema 1 / Wahlmodul: Die Französische </w:t>
            </w:r>
          </w:p>
          <w:p w:rsidR="00274AF1" w:rsidRPr="001F5A91" w:rsidRDefault="00274AF1" w:rsidP="00242AE5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t>Revolution und ihre Wirkung, Seite 82 bis 113</w:t>
            </w:r>
          </w:p>
          <w:p w:rsidR="00274AF1" w:rsidRDefault="00274AF1" w:rsidP="00242AE5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(Bezug zum Sturm auf die Bastille möglich, </w:t>
            </w:r>
          </w:p>
          <w:p w:rsidR="00274AF1" w:rsidRPr="001F5A91" w:rsidRDefault="00274AF1" w:rsidP="00242AE5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siehe Seite 86 f.)</w:t>
            </w:r>
          </w:p>
          <w:p w:rsidR="00274AF1" w:rsidRPr="001F5A91" w:rsidRDefault="00274AF1" w:rsidP="00242AE5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274AF1" w:rsidRPr="001F5A91" w:rsidRDefault="00274AF1" w:rsidP="00242AE5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274AF1" w:rsidRPr="001F5A91" w:rsidRDefault="00274AF1" w:rsidP="00242AE5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1F5A91">
              <w:rPr>
                <w:b/>
                <w:sz w:val="24"/>
                <w:szCs w:val="24"/>
              </w:rPr>
              <w:t xml:space="preserve">Rahmenthema 1 / Wahlmodul: Mauerfall und „Wende“ </w:t>
            </w:r>
          </w:p>
          <w:p w:rsidR="00274AF1" w:rsidRPr="001F5A91" w:rsidRDefault="00274AF1" w:rsidP="00242AE5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1F5A91">
              <w:rPr>
                <w:b/>
                <w:sz w:val="24"/>
                <w:szCs w:val="24"/>
              </w:rPr>
              <w:t>in der DDR 1989, Seite 114 bis 136</w:t>
            </w:r>
          </w:p>
          <w:p w:rsidR="00274AF1" w:rsidRDefault="00274AF1" w:rsidP="00242AE5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 xml:space="preserve">(Bezug zur friedlichen Revolution und Wiedervereinigung </w:t>
            </w:r>
          </w:p>
          <w:p w:rsidR="00274AF1" w:rsidRPr="008B45A2" w:rsidRDefault="00274AF1" w:rsidP="00242AE5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1F5A91">
              <w:rPr>
                <w:sz w:val="24"/>
                <w:szCs w:val="24"/>
              </w:rPr>
              <w:t>möglich, siehe vor allem Seite 124 f.)</w:t>
            </w:r>
          </w:p>
        </w:tc>
      </w:tr>
    </w:tbl>
    <w:p w:rsidR="003328EB" w:rsidRDefault="003328EB"/>
    <w:sectPr w:rsidR="003328EB" w:rsidSect="002171F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4C" w:rsidRDefault="00A93D4C" w:rsidP="00952204">
      <w:pPr>
        <w:spacing w:after="0" w:line="240" w:lineRule="auto"/>
      </w:pPr>
      <w:r>
        <w:separator/>
      </w:r>
    </w:p>
  </w:endnote>
  <w:endnote w:type="continuationSeparator" w:id="0">
    <w:p w:rsidR="00A93D4C" w:rsidRDefault="00A93D4C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04" w:rsidRDefault="00C251D7" w:rsidP="00970238">
    <w:pPr>
      <w:pStyle w:val="Fuzeile"/>
      <w:numPr>
        <w:ilvl w:val="0"/>
        <w:numId w:val="6"/>
      </w:numPr>
    </w:pPr>
    <w:r>
      <w:rPr>
        <w:rFonts w:ascii="Calibri" w:hAnsi="Calibri" w:cs="Arial"/>
      </w:rPr>
      <w:t>Buchners Kolleg Geschichte</w:t>
    </w:r>
    <w:r w:rsidR="0054117D">
      <w:rPr>
        <w:rFonts w:ascii="Calibri" w:hAnsi="Calibri" w:cs="Arial"/>
      </w:rPr>
      <w:t xml:space="preserve"> –</w:t>
    </w:r>
    <w:r>
      <w:rPr>
        <w:rFonts w:ascii="Calibri" w:hAnsi="Calibri" w:cs="Arial"/>
      </w:rPr>
      <w:t xml:space="preserve"> Niedersachsen, Abitur 2018 (ISBN 978-3-661-32017-5</w:t>
    </w:r>
    <w:r w:rsidR="0054117D">
      <w:rPr>
        <w:rFonts w:ascii="Calibri" w:hAnsi="Calibri" w:cs="Arial"/>
      </w:rPr>
      <w:t>) |</w:t>
    </w:r>
    <w:r w:rsidR="00952204">
      <w:rPr>
        <w:rFonts w:ascii="Calibri" w:hAnsi="Calibri" w:cs="Arial"/>
      </w:rPr>
      <w:t xml:space="preserve"> C.C.Buchner Verlag |</w:t>
    </w:r>
    <w:r w:rsidR="00952204" w:rsidRPr="00761883">
      <w:rPr>
        <w:rFonts w:ascii="Calibri" w:hAnsi="Calibri" w:cs="Arial"/>
      </w:rPr>
      <w:t xml:space="preserve"> Telefon +49 951 16098-</w:t>
    </w:r>
    <w:r w:rsidR="00952204">
      <w:rPr>
        <w:rFonts w:ascii="Calibri" w:hAnsi="Calibri" w:cs="Arial"/>
      </w:rPr>
      <w:t>200 |</w:t>
    </w:r>
    <w:r w:rsidR="00952204" w:rsidRPr="00761883">
      <w:rPr>
        <w:rFonts w:ascii="Calibri" w:hAnsi="Calibri" w:cs="Arial"/>
      </w:rPr>
      <w:t xml:space="preserve"> </w:t>
    </w:r>
    <w:hyperlink r:id="rId1" w:history="1">
      <w:r w:rsidR="00952204"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 w:rsidR="00A755AE">
      <w:rPr>
        <w:rStyle w:val="Hyperlink"/>
        <w:rFonts w:ascii="Calibri" w:hAnsi="Calibri" w:cs="Arial"/>
        <w:color w:val="000000"/>
        <w:u w:val="none"/>
      </w:rPr>
      <w:t xml:space="preserve"> </w:t>
    </w:r>
    <w:r w:rsidR="00A755AE"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4CBB4AC" wp14:editId="15DEE59C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4C" w:rsidRDefault="00A93D4C" w:rsidP="00952204">
      <w:pPr>
        <w:spacing w:after="0" w:line="240" w:lineRule="auto"/>
      </w:pPr>
      <w:r>
        <w:separator/>
      </w:r>
    </w:p>
  </w:footnote>
  <w:footnote w:type="continuationSeparator" w:id="0">
    <w:p w:rsidR="00A93D4C" w:rsidRDefault="00A93D4C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E378CD" w:rsidRDefault="00E378CD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805C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805C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378CD" w:rsidRDefault="00E378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5pt;height:12pt;visibility:visible;mso-wrap-style:square" o:bullet="t">
        <v:imagedata r:id="rId1" o:title="roter_Pfeil_klein"/>
      </v:shape>
    </w:pict>
  </w:numPicBullet>
  <w:abstractNum w:abstractNumId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A"/>
    <w:rsid w:val="000022ED"/>
    <w:rsid w:val="00042247"/>
    <w:rsid w:val="00050CA8"/>
    <w:rsid w:val="000925DB"/>
    <w:rsid w:val="000C13C3"/>
    <w:rsid w:val="001471EB"/>
    <w:rsid w:val="001A73DC"/>
    <w:rsid w:val="001F5A91"/>
    <w:rsid w:val="00207B7F"/>
    <w:rsid w:val="002171FC"/>
    <w:rsid w:val="00274AF1"/>
    <w:rsid w:val="002805CD"/>
    <w:rsid w:val="002B499B"/>
    <w:rsid w:val="002E4872"/>
    <w:rsid w:val="00326421"/>
    <w:rsid w:val="003328EB"/>
    <w:rsid w:val="003C7D68"/>
    <w:rsid w:val="003E1580"/>
    <w:rsid w:val="003E474C"/>
    <w:rsid w:val="00465CE4"/>
    <w:rsid w:val="0054117D"/>
    <w:rsid w:val="005667EC"/>
    <w:rsid w:val="00596761"/>
    <w:rsid w:val="006F2378"/>
    <w:rsid w:val="00733978"/>
    <w:rsid w:val="0078656A"/>
    <w:rsid w:val="007F2BED"/>
    <w:rsid w:val="0088519A"/>
    <w:rsid w:val="00891204"/>
    <w:rsid w:val="008B45A2"/>
    <w:rsid w:val="008D6D3A"/>
    <w:rsid w:val="009062C4"/>
    <w:rsid w:val="00952204"/>
    <w:rsid w:val="0095537B"/>
    <w:rsid w:val="00970238"/>
    <w:rsid w:val="00A64425"/>
    <w:rsid w:val="00A733DD"/>
    <w:rsid w:val="00A755AE"/>
    <w:rsid w:val="00A93D4C"/>
    <w:rsid w:val="00B23453"/>
    <w:rsid w:val="00BB018D"/>
    <w:rsid w:val="00C020A1"/>
    <w:rsid w:val="00C2017C"/>
    <w:rsid w:val="00C251D7"/>
    <w:rsid w:val="00CF4B15"/>
    <w:rsid w:val="00D143E3"/>
    <w:rsid w:val="00D61B00"/>
    <w:rsid w:val="00DB14B5"/>
    <w:rsid w:val="00E04DFA"/>
    <w:rsid w:val="00E378CD"/>
    <w:rsid w:val="00E71252"/>
    <w:rsid w:val="00ED04A1"/>
    <w:rsid w:val="00F053D0"/>
    <w:rsid w:val="00F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C.C.Buchners Verlag - Kummer</cp:lastModifiedBy>
  <cp:revision>4</cp:revision>
  <cp:lastPrinted>2016-10-04T06:11:00Z</cp:lastPrinted>
  <dcterms:created xsi:type="dcterms:W3CDTF">2016-10-04T06:11:00Z</dcterms:created>
  <dcterms:modified xsi:type="dcterms:W3CDTF">2016-10-04T06:12:00Z</dcterms:modified>
</cp:coreProperties>
</file>