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  <w:gridCol w:w="5869"/>
      </w:tblGrid>
      <w:tr w:rsidR="00D61B00" w:rsidTr="00C2017C">
        <w:tc>
          <w:tcPr>
            <w:tcW w:w="9529" w:type="dxa"/>
          </w:tcPr>
          <w:p w:rsidR="00D61B00" w:rsidRDefault="00D61B00">
            <w:bookmarkStart w:id="0" w:name="_GoBack"/>
            <w:bookmarkEnd w:id="0"/>
          </w:p>
          <w:p w:rsidR="00D61B00" w:rsidRDefault="00D61B00"/>
          <w:p w:rsidR="00D61B00" w:rsidRDefault="00D61B00"/>
          <w:p w:rsidR="00D61B00" w:rsidRDefault="00D61B00"/>
          <w:p w:rsidR="002171FC" w:rsidRDefault="002171FC"/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61667B" w:rsidRPr="0061667B" w:rsidRDefault="0061667B" w:rsidP="0061667B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Synopse</w:t>
            </w:r>
            <w:r w:rsidRPr="0061667B">
              <w:rPr>
                <w:b/>
                <w:sz w:val="40"/>
                <w:szCs w:val="40"/>
              </w:rPr>
              <w:t xml:space="preserve"> zum </w:t>
            </w:r>
            <w:r w:rsidRPr="0061667B">
              <w:rPr>
                <w:b/>
                <w:sz w:val="36"/>
                <w:szCs w:val="36"/>
              </w:rPr>
              <w:t>Abiturerlass vom 12. Juni 2017</w:t>
            </w:r>
          </w:p>
          <w:p w:rsidR="00D61B00" w:rsidRPr="0061667B" w:rsidRDefault="00D61B00" w:rsidP="0061667B">
            <w:pPr>
              <w:rPr>
                <w:b/>
                <w:sz w:val="40"/>
                <w:szCs w:val="40"/>
              </w:rPr>
            </w:pP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D61B00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Default="00D61B00"/>
        </w:tc>
        <w:tc>
          <w:tcPr>
            <w:tcW w:w="5869" w:type="dxa"/>
            <w:vMerge w:val="restart"/>
            <w:shd w:val="clear" w:color="auto" w:fill="C00000"/>
          </w:tcPr>
          <w:p w:rsidR="00D61B00" w:rsidRDefault="0061667B">
            <w:r w:rsidRPr="0061667B">
              <w:rPr>
                <w:noProof/>
                <w:lang w:eastAsia="de-DE"/>
              </w:rPr>
              <w:drawing>
                <wp:inline distT="0" distB="0" distL="0" distR="0">
                  <wp:extent cx="2686050" cy="3219450"/>
                  <wp:effectExtent l="0" t="0" r="0" b="0"/>
                  <wp:docPr id="1" name="Grafik 1" descr="4673 Qualifikationsph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73 Qualifikationsph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B00" w:rsidTr="00C2017C">
        <w:tc>
          <w:tcPr>
            <w:tcW w:w="9529" w:type="dxa"/>
          </w:tcPr>
          <w:p w:rsidR="00D61B00" w:rsidRPr="00733978" w:rsidRDefault="006F2378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Buchners Kolleg Geschichte</w:t>
            </w:r>
            <w:r w:rsidR="00D61B00" w:rsidRPr="00733978">
              <w:rPr>
                <w:rFonts w:eastAsiaTheme="majorEastAsia" w:cstheme="majorBidi"/>
                <w:b/>
                <w:sz w:val="40"/>
                <w:szCs w:val="40"/>
              </w:rPr>
              <w:t xml:space="preserve"> – </w:t>
            </w:r>
          </w:p>
          <w:p w:rsidR="00D61B00" w:rsidRPr="0061667B" w:rsidRDefault="0061667B" w:rsidP="00D61B00">
            <w:pPr>
              <w:pStyle w:val="KeinLeerraum"/>
              <w:ind w:firstLine="708"/>
              <w:rPr>
                <w:rFonts w:eastAsiaTheme="majorEastAsia" w:cstheme="majorBidi"/>
                <w:b/>
                <w:color w:val="FF0000"/>
                <w:sz w:val="40"/>
                <w:szCs w:val="40"/>
              </w:rPr>
            </w:pPr>
            <w:r w:rsidRPr="0061667B">
              <w:rPr>
                <w:rFonts w:eastAsiaTheme="majorEastAsia" w:cstheme="majorBidi"/>
                <w:b/>
                <w:color w:val="FF0000"/>
                <w:sz w:val="40"/>
                <w:szCs w:val="40"/>
              </w:rPr>
              <w:t>Neue Ausgabe Hessen</w:t>
            </w:r>
          </w:p>
          <w:p w:rsidR="00D61B00" w:rsidRPr="0061667B" w:rsidRDefault="0061667B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40"/>
                <w:szCs w:val="40"/>
              </w:rPr>
            </w:pPr>
            <w:r w:rsidRPr="0061667B">
              <w:rPr>
                <w:rFonts w:eastAsiaTheme="majorEastAsia" w:cstheme="majorBidi"/>
                <w:b/>
                <w:sz w:val="40"/>
                <w:szCs w:val="40"/>
              </w:rPr>
              <w:t>Qualifikationsphase</w:t>
            </w:r>
          </w:p>
          <w:p w:rsidR="000863AB" w:rsidRDefault="000863AB" w:rsidP="000863AB">
            <w:pPr>
              <w:pStyle w:val="KeinLeerraum"/>
              <w:rPr>
                <w:rFonts w:eastAsiaTheme="majorEastAsia" w:cstheme="majorBidi"/>
                <w:sz w:val="40"/>
                <w:szCs w:val="40"/>
              </w:rPr>
            </w:pPr>
          </w:p>
          <w:p w:rsidR="00D61B00" w:rsidRPr="002171FC" w:rsidRDefault="0061667B" w:rsidP="002171FC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(ISBN 978-3-7661-</w:t>
            </w:r>
            <w:r w:rsidR="005D0980" w:rsidRPr="005D0980">
              <w:rPr>
                <w:rFonts w:eastAsiaTheme="majorEastAsia" w:cstheme="majorBidi"/>
                <w:b/>
                <w:sz w:val="40"/>
                <w:szCs w:val="40"/>
              </w:rPr>
              <w:t>4673</w:t>
            </w:r>
            <w:r w:rsidR="005D0980">
              <w:rPr>
                <w:rFonts w:eastAsiaTheme="majorEastAsia" w:cstheme="majorBidi"/>
                <w:sz w:val="40"/>
                <w:szCs w:val="40"/>
              </w:rPr>
              <w:t>-</w:t>
            </w:r>
            <w:r>
              <w:rPr>
                <w:rFonts w:eastAsiaTheme="majorEastAsia" w:cstheme="majorBidi"/>
                <w:sz w:val="40"/>
                <w:szCs w:val="40"/>
              </w:rPr>
              <w:t>1</w:t>
            </w:r>
            <w:r w:rsidR="00D61B00" w:rsidRPr="00733978">
              <w:rPr>
                <w:rFonts w:eastAsiaTheme="majorEastAsia" w:cstheme="majorBidi"/>
                <w:sz w:val="40"/>
                <w:szCs w:val="40"/>
              </w:rPr>
              <w:t>)</w:t>
            </w:r>
          </w:p>
        </w:tc>
        <w:tc>
          <w:tcPr>
            <w:tcW w:w="5869" w:type="dxa"/>
            <w:vMerge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2171FC" w:rsidRDefault="002171FC"/>
        </w:tc>
        <w:tc>
          <w:tcPr>
            <w:tcW w:w="5869" w:type="dxa"/>
            <w:shd w:val="clear" w:color="auto" w:fill="C00000"/>
          </w:tcPr>
          <w:p w:rsidR="00D61B00" w:rsidRPr="00ED4731" w:rsidRDefault="0061667B">
            <w:pPr>
              <w:rPr>
                <w:b/>
                <w:sz w:val="20"/>
                <w:szCs w:val="20"/>
              </w:rPr>
            </w:pPr>
            <w:r w:rsidRPr="00ED4731">
              <w:rPr>
                <w:b/>
                <w:sz w:val="20"/>
                <w:szCs w:val="20"/>
              </w:rPr>
              <w:t>Herausgegeben von Hartmann Wunderer</w:t>
            </w:r>
          </w:p>
          <w:p w:rsidR="0061667B" w:rsidRPr="0061667B" w:rsidRDefault="0061667B" w:rsidP="006166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67B">
              <w:rPr>
                <w:rFonts w:ascii="Calibri" w:hAnsi="Calibri"/>
                <w:sz w:val="20"/>
                <w:szCs w:val="20"/>
              </w:rPr>
              <w:t>Bearbeitet von Thomas Ahbe, Boris Barth, Almut Becker, Jan-Philipp Gürtler, Christoph Hamann, Klaus Dieter Hein-Mooren, Alexandra Hoffmann-Kuhnt, Herbert Kohl, Thomas Lange, Martin Liepach, Michael Mayer, Andreas Oertel, Markus Sanke, Reiner Schell, Rolf Schulte, Philipp Völger, Jan Weidauer und Hartmann Wunderer</w:t>
            </w:r>
          </w:p>
          <w:p w:rsidR="0061667B" w:rsidRDefault="0061667B"/>
        </w:tc>
      </w:tr>
      <w:tr w:rsidR="00D61B00" w:rsidRPr="007B4E7B" w:rsidTr="00C2017C">
        <w:tc>
          <w:tcPr>
            <w:tcW w:w="9529" w:type="dxa"/>
          </w:tcPr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Pr="006F2378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17294" wp14:editId="5455905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5DB">
              <w:rPr>
                <w:b/>
                <w:color w:val="FFFFFF" w:themeColor="background1"/>
              </w:rPr>
              <w:t>C.C.Buchner Verlag GmbH &amp; Co.</w:t>
            </w:r>
            <w:r>
              <w:rPr>
                <w:b/>
                <w:color w:val="FFFFFF" w:themeColor="background1"/>
              </w:rPr>
              <w:t xml:space="preserve"> </w:t>
            </w:r>
            <w:r w:rsidRPr="006F2378">
              <w:rPr>
                <w:b/>
                <w:color w:val="FFFFFF" w:themeColor="background1"/>
                <w:lang w:val="pl-PL"/>
              </w:rPr>
              <w:t>KG</w:t>
            </w:r>
          </w:p>
          <w:p w:rsidR="00D61B00" w:rsidRPr="006F2378" w:rsidRDefault="00D61B00" w:rsidP="00D61B00">
            <w:pPr>
              <w:pStyle w:val="KeinLeerraum"/>
              <w:spacing w:line="360" w:lineRule="auto"/>
              <w:rPr>
                <w:rFonts w:ascii="Calibri" w:hAnsi="Calibri" w:cs="Arial"/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Telefon +49 951 16098-200</w:t>
            </w:r>
          </w:p>
          <w:p w:rsidR="00D61B00" w:rsidRPr="006F2378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www.ccbuchner.de</w:t>
            </w:r>
          </w:p>
        </w:tc>
      </w:tr>
    </w:tbl>
    <w:p w:rsidR="007B4E7B" w:rsidRPr="007B4E7B" w:rsidRDefault="007B4E7B" w:rsidP="007B4E7B">
      <w:pPr>
        <w:tabs>
          <w:tab w:val="left" w:pos="1440"/>
        </w:tabs>
        <w:rPr>
          <w:rFonts w:cs="Arial"/>
          <w:sz w:val="24"/>
          <w:lang w:val="pl-P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  <w:gridCol w:w="5187"/>
      </w:tblGrid>
      <w:tr w:rsidR="00670519" w:rsidRPr="008B45A2" w:rsidTr="001654EC">
        <w:tc>
          <w:tcPr>
            <w:tcW w:w="15388" w:type="dxa"/>
            <w:gridSpan w:val="2"/>
            <w:shd w:val="clear" w:color="auto" w:fill="C00000"/>
          </w:tcPr>
          <w:p w:rsidR="00314550" w:rsidRPr="009060C0" w:rsidRDefault="009060C0" w:rsidP="00670519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246878">
              <w:rPr>
                <w:rFonts w:eastAsia="Times New Roman" w:cs="Arial"/>
                <w:b/>
                <w:sz w:val="28"/>
                <w:szCs w:val="28"/>
                <w:lang w:eastAsia="de-DE"/>
              </w:rPr>
              <w:lastRenderedPageBreak/>
              <w:t>Q1 Europa und die Welt im 19. Jahrhundert – Ambivalenzen des politischen und wirtschaftlichen Fortschritts</w:t>
            </w:r>
          </w:p>
        </w:tc>
      </w:tr>
      <w:tr w:rsidR="002E4872" w:rsidRPr="008B45A2" w:rsidTr="009060C0">
        <w:tc>
          <w:tcPr>
            <w:tcW w:w="10201" w:type="dxa"/>
          </w:tcPr>
          <w:p w:rsidR="00246878" w:rsidRPr="00505334" w:rsidRDefault="00246878" w:rsidP="00246878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505334">
              <w:rPr>
                <w:rFonts w:eastAsia="Times New Roman" w:cs="Arial"/>
                <w:b/>
                <w:sz w:val="24"/>
                <w:szCs w:val="24"/>
                <w:lang w:eastAsia="de-DE"/>
              </w:rPr>
              <w:t>Q1.1 Die deutsche Revolution von 1848/49  –</w:t>
            </w:r>
          </w:p>
          <w:p w:rsidR="0096269A" w:rsidRPr="00246878" w:rsidRDefault="00246878" w:rsidP="00246878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b/>
                <w:sz w:val="24"/>
                <w:szCs w:val="24"/>
                <w:lang w:eastAsia="de-DE"/>
              </w:rPr>
              <w:t>Markstein auf dem Weg zu Parlamentarismus, Demokratie und Nationalstaat?</w:t>
            </w:r>
          </w:p>
        </w:tc>
        <w:tc>
          <w:tcPr>
            <w:tcW w:w="5187" w:type="dxa"/>
          </w:tcPr>
          <w:p w:rsidR="009060C0" w:rsidRPr="00505334" w:rsidRDefault="00837A20" w:rsidP="0096269A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r w:rsidR="00D26AB5">
              <w:rPr>
                <w:b/>
                <w:sz w:val="24"/>
                <w:szCs w:val="24"/>
              </w:rPr>
              <w:t xml:space="preserve">10 – </w:t>
            </w:r>
            <w:r>
              <w:rPr>
                <w:b/>
                <w:sz w:val="24"/>
                <w:szCs w:val="24"/>
              </w:rPr>
              <w:t>39</w:t>
            </w:r>
          </w:p>
        </w:tc>
      </w:tr>
      <w:tr w:rsidR="0096269A" w:rsidRPr="008B45A2" w:rsidTr="009060C0">
        <w:tc>
          <w:tcPr>
            <w:tcW w:w="10201" w:type="dxa"/>
          </w:tcPr>
          <w:p w:rsidR="0096269A" w:rsidRPr="00505334" w:rsidRDefault="0096269A" w:rsidP="0096269A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96269A" w:rsidRDefault="0096269A" w:rsidP="0096269A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Entstehung, Entwicklung und Unterdrückung der liberal-nationalen Bewegung im europ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ä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ischen Kontext (1813/15–1848)</w:t>
            </w:r>
          </w:p>
          <w:p w:rsidR="0096269A" w:rsidRDefault="0096269A" w:rsidP="0096269A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Kernprobleme der Revolution: politische Strömungen, soziale und politische Forderu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gen, Verfassungsfragen (Staatsorganisation, Wahlrecht), nationale Frage (kleindeutsch vs. großdeutsch, Polenfrage)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</w:p>
          <w:p w:rsidR="0096269A" w:rsidRPr="008220AE" w:rsidRDefault="0096269A" w:rsidP="0096269A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Ursachen des Scheiterns der Revolution und bleibende Errungenschaften (Vergleich 1849 und Reichsgründung 1871 –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Parallele und Kontrast)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</w:p>
          <w:p w:rsidR="0096269A" w:rsidRDefault="0096269A" w:rsidP="0096269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96269A" w:rsidRPr="00505334" w:rsidRDefault="0096269A" w:rsidP="0096269A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505334" w:rsidRPr="007311DF" w:rsidRDefault="0096269A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nationale Bewegungen in Europa am Beispiel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[...] Polens</w:t>
            </w:r>
          </w:p>
        </w:tc>
        <w:tc>
          <w:tcPr>
            <w:tcW w:w="5187" w:type="dxa"/>
          </w:tcPr>
          <w:p w:rsidR="00DC795B" w:rsidRDefault="00DC795B" w:rsidP="00DC795B">
            <w:pPr>
              <w:spacing w:before="80" w:after="80"/>
              <w:rPr>
                <w:sz w:val="20"/>
                <w:szCs w:val="20"/>
              </w:rPr>
            </w:pPr>
          </w:p>
          <w:p w:rsidR="0096269A" w:rsidRDefault="00DC795B" w:rsidP="00DC795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12 ff.</w:t>
            </w:r>
          </w:p>
          <w:p w:rsidR="00D4412D" w:rsidRDefault="00D4412D" w:rsidP="00D4412D">
            <w:pPr>
              <w:spacing w:before="80" w:after="80" w:line="200" w:lineRule="exact"/>
              <w:ind w:left="34"/>
              <w:rPr>
                <w:sz w:val="20"/>
                <w:szCs w:val="20"/>
              </w:rPr>
            </w:pPr>
          </w:p>
          <w:p w:rsidR="0096269A" w:rsidRDefault="00DC795B" w:rsidP="00314550">
            <w:pPr>
              <w:spacing w:before="80" w:after="8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26 ff.</w:t>
            </w:r>
          </w:p>
          <w:p w:rsidR="0096269A" w:rsidRDefault="0096269A" w:rsidP="00D4412D">
            <w:pPr>
              <w:spacing w:before="80" w:after="80" w:line="100" w:lineRule="exact"/>
              <w:rPr>
                <w:sz w:val="20"/>
                <w:szCs w:val="20"/>
              </w:rPr>
            </w:pPr>
          </w:p>
          <w:p w:rsidR="00DC795B" w:rsidRDefault="00DC795B" w:rsidP="00D4412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36 ff.</w:t>
            </w:r>
          </w:p>
          <w:p w:rsidR="00D4412D" w:rsidRPr="00D4412D" w:rsidRDefault="00D4412D" w:rsidP="00D4412D">
            <w:pPr>
              <w:spacing w:before="80" w:after="80" w:line="120" w:lineRule="auto"/>
              <w:rPr>
                <w:sz w:val="20"/>
                <w:szCs w:val="20"/>
              </w:rPr>
            </w:pPr>
          </w:p>
          <w:p w:rsidR="0096269A" w:rsidRPr="00DC795B" w:rsidRDefault="0096269A" w:rsidP="0096269A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  <w:r w:rsidRPr="0096269A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Siehe das </w:t>
            </w:r>
            <w:r w:rsidRPr="0096269A">
              <w:rPr>
                <w:rFonts w:eastAsia="Times New Roman"/>
                <w:color w:val="FF0000"/>
                <w:sz w:val="20"/>
                <w:szCs w:val="20"/>
                <w:lang w:eastAsia="de-DE"/>
              </w:rPr>
              <w:t>O</w:t>
            </w:r>
            <w:r w:rsidRPr="0096269A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n-</w:t>
            </w:r>
            <w:r w:rsidRPr="0096269A">
              <w:rPr>
                <w:rFonts w:eastAsia="Times New Roman"/>
                <w:color w:val="FF0000"/>
                <w:sz w:val="20"/>
                <w:szCs w:val="20"/>
                <w:lang w:eastAsia="de-DE"/>
              </w:rPr>
              <w:t>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ine-Kapitel </w:t>
            </w:r>
            <w:r w:rsidRPr="0096269A"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  <w:t>„Polen – Nation ohne Staat“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Pr="0096269A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unter </w:t>
            </w:r>
            <w:r w:rsidRPr="0096269A"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  <w:t>4673-00.</w:t>
            </w:r>
          </w:p>
        </w:tc>
      </w:tr>
      <w:tr w:rsidR="00246878" w:rsidRPr="0096269A" w:rsidTr="00A3531D">
        <w:tc>
          <w:tcPr>
            <w:tcW w:w="10201" w:type="dxa"/>
          </w:tcPr>
          <w:p w:rsidR="00246878" w:rsidRPr="00505334" w:rsidRDefault="00246878" w:rsidP="00505334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F94CEC">
              <w:rPr>
                <w:rFonts w:eastAsia="Times New Roman" w:cs="Arial"/>
                <w:b/>
                <w:sz w:val="24"/>
                <w:szCs w:val="24"/>
                <w:lang w:eastAsia="de-DE"/>
              </w:rPr>
              <w:t>Q1.5 Imperialismus  – Export europäischer Zivilisation?</w:t>
            </w:r>
          </w:p>
        </w:tc>
        <w:tc>
          <w:tcPr>
            <w:tcW w:w="5187" w:type="dxa"/>
          </w:tcPr>
          <w:p w:rsidR="00246878" w:rsidRPr="00505334" w:rsidRDefault="00D26AB5" w:rsidP="007311D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120 – 137</w:t>
            </w:r>
          </w:p>
        </w:tc>
      </w:tr>
      <w:tr w:rsidR="00246878" w:rsidRPr="0096269A" w:rsidTr="00A3531D">
        <w:tc>
          <w:tcPr>
            <w:tcW w:w="10201" w:type="dxa"/>
          </w:tcPr>
          <w:p w:rsidR="00505334" w:rsidRPr="003721E0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Ursachen, Legitimation und Ziele des Imperialismus (ökonomische, machtpolitische, 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ligiöse Motive, Sozialdarwinismus/Rassismus)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 xml:space="preserve">imperialistische Herrschaft in Afrika und Asien: Eroberung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–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Ausbeutung –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Modernisi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rung? (z. B. Deutsch-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Südwestafrika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505334" w:rsidRPr="008220AE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Widerstand der Beherrschten (z. B. Herero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Aufstand in Südwestafrika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505334" w:rsidRDefault="00505334" w:rsidP="00505334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505334" w:rsidRPr="003721E0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505334" w:rsidRP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vertiefende Auseinandersetzung mit den Auswirkungen des Imperialismus auf die kolon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 xml:space="preserve">alisierten Gebiete </w:t>
            </w:r>
          </w:p>
        </w:tc>
        <w:tc>
          <w:tcPr>
            <w:tcW w:w="5187" w:type="dxa"/>
          </w:tcPr>
          <w:p w:rsidR="00246878" w:rsidRDefault="00246878" w:rsidP="00A3531D">
            <w:pPr>
              <w:spacing w:before="80" w:after="80"/>
              <w:ind w:left="33"/>
              <w:rPr>
                <w:sz w:val="20"/>
                <w:szCs w:val="20"/>
              </w:rPr>
            </w:pPr>
          </w:p>
          <w:p w:rsidR="00246878" w:rsidRDefault="00DC795B" w:rsidP="00A3531D">
            <w:pPr>
              <w:spacing w:before="80" w:after="8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120 ff.</w:t>
            </w:r>
          </w:p>
          <w:p w:rsidR="00D4412D" w:rsidRDefault="00D4412D" w:rsidP="00D4412D">
            <w:pPr>
              <w:spacing w:before="80" w:after="80" w:line="160" w:lineRule="exact"/>
              <w:ind w:left="34"/>
              <w:rPr>
                <w:sz w:val="20"/>
                <w:szCs w:val="20"/>
              </w:rPr>
            </w:pPr>
          </w:p>
          <w:p w:rsidR="00246878" w:rsidRDefault="00DC795B" w:rsidP="00D4412D">
            <w:pPr>
              <w:spacing w:before="80" w:after="8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127 ff.</w:t>
            </w:r>
          </w:p>
          <w:p w:rsidR="00246878" w:rsidRDefault="00DC795B" w:rsidP="00A3531D">
            <w:pPr>
              <w:spacing w:before="80" w:after="8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128, Internettipp; S. 133</w:t>
            </w:r>
          </w:p>
          <w:p w:rsidR="00246878" w:rsidRDefault="00246878" w:rsidP="00D4412D">
            <w:pPr>
              <w:spacing w:line="360" w:lineRule="exact"/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:rsidR="00DC795B" w:rsidRPr="00DC795B" w:rsidRDefault="00DC795B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  <w:r w:rsidRPr="00DC795B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 136 f.</w:t>
            </w:r>
          </w:p>
        </w:tc>
      </w:tr>
      <w:tr w:rsidR="00505334" w:rsidRPr="0096269A" w:rsidTr="00A3531D">
        <w:tc>
          <w:tcPr>
            <w:tcW w:w="10201" w:type="dxa"/>
          </w:tcPr>
          <w:p w:rsidR="00505334" w:rsidRPr="007311DF" w:rsidRDefault="00505334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7311DF">
              <w:rPr>
                <w:rFonts w:eastAsia="Times New Roman" w:cs="Arial"/>
                <w:b/>
                <w:sz w:val="24"/>
                <w:szCs w:val="24"/>
                <w:lang w:eastAsia="de-DE"/>
              </w:rPr>
              <w:t>Q1.6 Der Erste Weltkrieg  – Zerstörung der alten europäischen Ordnung</w:t>
            </w:r>
          </w:p>
        </w:tc>
        <w:tc>
          <w:tcPr>
            <w:tcW w:w="5187" w:type="dxa"/>
          </w:tcPr>
          <w:p w:rsidR="00505334" w:rsidRPr="00505334" w:rsidRDefault="000863AB" w:rsidP="00A3531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</w:t>
            </w:r>
            <w:r w:rsidR="00D26AB5">
              <w:rPr>
                <w:b/>
                <w:sz w:val="24"/>
                <w:szCs w:val="24"/>
              </w:rPr>
              <w:t>138 – 163</w:t>
            </w:r>
          </w:p>
        </w:tc>
      </w:tr>
      <w:tr w:rsidR="00505334" w:rsidRPr="0096269A" w:rsidTr="00A3531D">
        <w:tc>
          <w:tcPr>
            <w:tcW w:w="10201" w:type="dxa"/>
          </w:tcPr>
          <w:p w:rsidR="00505334" w:rsidRPr="00505334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sz w:val="20"/>
                <w:szCs w:val="20"/>
                <w:lang w:eastAsia="de-DE"/>
              </w:rPr>
              <w:t>außenpolitische Wende von Bismarck zu Wilhelm II.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sz w:val="20"/>
                <w:szCs w:val="20"/>
                <w:lang w:eastAsia="de-DE"/>
              </w:rPr>
              <w:t>der Weg in den Ersten Weltkrieg als Folge von aggressivem Nationalismus, Militarismus und europäischen Bündnissystemen (Marokkokrisen, Balkankriege, Julikrise)</w:t>
            </w:r>
          </w:p>
          <w:p w:rsidR="00505334" w:rsidRP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</w:p>
          <w:p w:rsidR="00505334" w:rsidRPr="00505334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</w:p>
          <w:p w:rsidR="00505334" w:rsidRPr="00505334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ED4731" w:rsidRPr="00DC795B" w:rsidRDefault="00505334" w:rsidP="00DC795B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05334">
              <w:rPr>
                <w:rFonts w:eastAsia="Times New Roman" w:cs="Arial"/>
                <w:sz w:val="20"/>
                <w:szCs w:val="20"/>
                <w:lang w:eastAsia="de-DE"/>
              </w:rPr>
              <w:t>vertiefende Auseinandersetzung mit Interpretationen und Kontroversen zum Kriegsausbruch</w:t>
            </w:r>
          </w:p>
        </w:tc>
        <w:tc>
          <w:tcPr>
            <w:tcW w:w="5187" w:type="dxa"/>
          </w:tcPr>
          <w:p w:rsidR="00D4412D" w:rsidRDefault="00D4412D" w:rsidP="00D4412D">
            <w:pPr>
              <w:spacing w:before="80" w:after="80" w:line="80" w:lineRule="exact"/>
              <w:rPr>
                <w:sz w:val="20"/>
                <w:szCs w:val="20"/>
              </w:rPr>
            </w:pPr>
          </w:p>
          <w:p w:rsidR="00D4412D" w:rsidRDefault="00DC795B" w:rsidP="00D4412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138 ff.</w:t>
            </w:r>
          </w:p>
          <w:p w:rsidR="00D4412D" w:rsidRDefault="00D4412D" w:rsidP="00D4412D">
            <w:pPr>
              <w:spacing w:before="80" w:after="80" w:line="120" w:lineRule="exact"/>
              <w:rPr>
                <w:sz w:val="20"/>
                <w:szCs w:val="20"/>
              </w:rPr>
            </w:pPr>
          </w:p>
          <w:p w:rsidR="00505334" w:rsidRDefault="00DC795B" w:rsidP="00D4412D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144 ff.</w:t>
            </w:r>
          </w:p>
          <w:p w:rsidR="00505334" w:rsidRDefault="00505334" w:rsidP="00A3531D">
            <w:pPr>
              <w:spacing w:before="80" w:after="80"/>
              <w:ind w:left="33"/>
              <w:rPr>
                <w:sz w:val="20"/>
                <w:szCs w:val="20"/>
              </w:rPr>
            </w:pPr>
          </w:p>
          <w:p w:rsidR="00505334" w:rsidRDefault="00505334" w:rsidP="00A3531D">
            <w:pPr>
              <w:spacing w:before="80" w:after="80"/>
              <w:ind w:left="33"/>
              <w:rPr>
                <w:sz w:val="20"/>
                <w:szCs w:val="20"/>
              </w:rPr>
            </w:pPr>
          </w:p>
          <w:p w:rsidR="00DC795B" w:rsidRPr="00DC795B" w:rsidRDefault="00DC795B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  <w:r w:rsidRPr="00DC795B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 160 f.</w:t>
            </w:r>
          </w:p>
        </w:tc>
      </w:tr>
    </w:tbl>
    <w:p w:rsidR="00ED4731" w:rsidRDefault="00ED473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  <w:gridCol w:w="5187"/>
      </w:tblGrid>
      <w:tr w:rsidR="00505334" w:rsidRPr="009060C0" w:rsidTr="00A3531D">
        <w:tc>
          <w:tcPr>
            <w:tcW w:w="15388" w:type="dxa"/>
            <w:gridSpan w:val="2"/>
            <w:shd w:val="clear" w:color="auto" w:fill="C00000"/>
          </w:tcPr>
          <w:p w:rsidR="00505334" w:rsidRPr="009060C0" w:rsidRDefault="00505334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lastRenderedPageBreak/>
              <w:t>Q2 Die Welt zwischen Demokratie und Diktatur</w:t>
            </w:r>
          </w:p>
        </w:tc>
      </w:tr>
      <w:tr w:rsidR="00505334" w:rsidRPr="00505334" w:rsidTr="00A3531D">
        <w:tc>
          <w:tcPr>
            <w:tcW w:w="10201" w:type="dxa"/>
          </w:tcPr>
          <w:p w:rsidR="00505334" w:rsidRPr="00505334" w:rsidRDefault="00505334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505334">
              <w:rPr>
                <w:rFonts w:eastAsia="Times New Roman" w:cs="Arial"/>
                <w:b/>
                <w:sz w:val="24"/>
                <w:szCs w:val="24"/>
                <w:lang w:eastAsia="de-DE"/>
              </w:rPr>
              <w:t>Q2.1 Die Weimarer Republik als erste deutsche Demokratie</w:t>
            </w:r>
          </w:p>
        </w:tc>
        <w:tc>
          <w:tcPr>
            <w:tcW w:w="5187" w:type="dxa"/>
          </w:tcPr>
          <w:p w:rsidR="00505334" w:rsidRPr="00505334" w:rsidRDefault="00837A20" w:rsidP="00A3531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190 – 225</w:t>
            </w:r>
            <w:r w:rsidR="00443F1C">
              <w:rPr>
                <w:b/>
                <w:sz w:val="24"/>
                <w:szCs w:val="24"/>
              </w:rPr>
              <w:t>-</w:t>
            </w:r>
          </w:p>
        </w:tc>
      </w:tr>
      <w:tr w:rsidR="00505334" w:rsidRPr="0096269A" w:rsidTr="00A3531D">
        <w:tc>
          <w:tcPr>
            <w:tcW w:w="10201" w:type="dxa"/>
          </w:tcPr>
          <w:p w:rsidR="00505334" w:rsidRPr="003721E0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Entstehungsbedingungen und innenpolitische Entwicklung (Novemberrevolution, Parte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en, Verfassung, Krisenjahr 1923, Stabilisierung, Präsidialregierungen und nationalsozi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a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listische „Machtergreifung“)</w:t>
            </w:r>
          </w:p>
          <w:p w:rsidR="00505334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Ziele, Methoden und Ergebnisse der Weimarer Außenpolitik (Versailler Vertrag, Revis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Pr="008220AE">
              <w:rPr>
                <w:rFonts w:eastAsia="Times New Roman" w:cs="Arial"/>
                <w:sz w:val="20"/>
                <w:szCs w:val="20"/>
                <w:lang w:eastAsia="de-DE"/>
              </w:rPr>
              <w:t>onismus, West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-versus Ostorientierung, Strategie Stresemanns, Haltung der Siegermächte und der UdSSR)</w:t>
            </w:r>
          </w:p>
          <w:p w:rsidR="00505334" w:rsidRPr="003F4816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Gesellschaft zwischen Tradition und Modernität (z. B. Wirtschaftsaufschwung, Amerik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a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nisierung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EE2843" w:rsidRDefault="00EE2843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</w:p>
          <w:p w:rsidR="00505334" w:rsidRPr="003721E0" w:rsidRDefault="00505334" w:rsidP="00505334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505334" w:rsidRPr="007311DF" w:rsidRDefault="00505334" w:rsidP="00505334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vertiefende Auseinandersetzung mit Interpretationen und Kontroversen über die Beurte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lung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der Deutschen Revolution 1918/19 (z. B. Sieg der Demokratie versus „steckeng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bliebene“ Revolution)</w:t>
            </w:r>
          </w:p>
        </w:tc>
        <w:tc>
          <w:tcPr>
            <w:tcW w:w="5187" w:type="dxa"/>
          </w:tcPr>
          <w:p w:rsidR="00505334" w:rsidRDefault="00505334" w:rsidP="00A3531D">
            <w:pPr>
              <w:rPr>
                <w:sz w:val="20"/>
                <w:szCs w:val="20"/>
              </w:rPr>
            </w:pPr>
          </w:p>
          <w:p w:rsidR="0039049E" w:rsidRDefault="0039049E" w:rsidP="00A3531D">
            <w:pPr>
              <w:rPr>
                <w:sz w:val="20"/>
                <w:szCs w:val="20"/>
              </w:rPr>
            </w:pPr>
          </w:p>
          <w:p w:rsidR="00EE2843" w:rsidRPr="00D4412D" w:rsidRDefault="00DC795B" w:rsidP="00A3531D">
            <w:pPr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190 ff.</w:t>
            </w:r>
            <w:r w:rsidR="0039049E" w:rsidRPr="00D4412D">
              <w:rPr>
                <w:sz w:val="20"/>
                <w:szCs w:val="20"/>
                <w:lang w:val="en-US"/>
              </w:rPr>
              <w:t>, 226 ff., 234 ff.</w:t>
            </w:r>
          </w:p>
          <w:p w:rsidR="0039049E" w:rsidRPr="00D4412D" w:rsidRDefault="0039049E" w:rsidP="00A3531D">
            <w:pPr>
              <w:rPr>
                <w:sz w:val="20"/>
                <w:szCs w:val="20"/>
                <w:lang w:val="en-US"/>
              </w:rPr>
            </w:pPr>
          </w:p>
          <w:p w:rsidR="00EE2843" w:rsidRPr="00D4412D" w:rsidRDefault="00DC795B" w:rsidP="00A3531D">
            <w:pPr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216 ff.</w:t>
            </w:r>
          </w:p>
          <w:p w:rsidR="00EE2843" w:rsidRDefault="00DC795B" w:rsidP="00A35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220 ff.</w:t>
            </w:r>
          </w:p>
          <w:p w:rsidR="00EE2843" w:rsidRDefault="00EE2843" w:rsidP="00A3531D">
            <w:pPr>
              <w:rPr>
                <w:sz w:val="20"/>
                <w:szCs w:val="20"/>
              </w:rPr>
            </w:pPr>
          </w:p>
          <w:p w:rsidR="00EE2843" w:rsidRDefault="00EE2843" w:rsidP="00A3531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:rsidR="00D4412D" w:rsidRDefault="00D4412D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DC795B" w:rsidRPr="00D4412D" w:rsidRDefault="00DC795B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  <w:r w:rsidRPr="00DC795B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 xml:space="preserve"> 196f.</w:t>
            </w:r>
          </w:p>
        </w:tc>
      </w:tr>
      <w:tr w:rsidR="00505334" w:rsidRPr="00505334" w:rsidTr="00A3531D">
        <w:tc>
          <w:tcPr>
            <w:tcW w:w="10201" w:type="dxa"/>
          </w:tcPr>
          <w:p w:rsidR="00505334" w:rsidRPr="00505334" w:rsidRDefault="00505334" w:rsidP="00A3531D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505334">
              <w:rPr>
                <w:rFonts w:eastAsia="Times New Roman" w:cs="Arial"/>
                <w:b/>
                <w:sz w:val="24"/>
                <w:szCs w:val="24"/>
                <w:lang w:eastAsia="de-DE"/>
              </w:rPr>
              <w:t>Q2.2 Aushöhlung der Demokratie und Errichtung der Diktatur in Deutschlan</w:t>
            </w:r>
            <w:r>
              <w:rPr>
                <w:rFonts w:eastAsia="Times New Roman" w:cs="Arial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5187" w:type="dxa"/>
          </w:tcPr>
          <w:p w:rsidR="00505334" w:rsidRPr="00505334" w:rsidRDefault="00837A20" w:rsidP="007311D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226 – 255</w:t>
            </w:r>
          </w:p>
        </w:tc>
      </w:tr>
      <w:tr w:rsidR="00505334" w:rsidRPr="000863AB" w:rsidTr="00A3531D">
        <w:tc>
          <w:tcPr>
            <w:tcW w:w="10201" w:type="dxa"/>
          </w:tcPr>
          <w:p w:rsidR="007311DF" w:rsidRPr="003721E0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7311DF" w:rsidRPr="00EE2843" w:rsidRDefault="007311DF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Entstehung und Entwicklung der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NSDAP (Ideologie und Strategie, Aufstieg zur Masse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partei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7311DF" w:rsidRPr="00EE2843" w:rsidRDefault="007311DF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 xml:space="preserve">Ursachen des Scheiterns der Weimarer Republik (strukturelle Belastungen und politische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Fehlentscheidungen 1930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–1933)</w:t>
            </w:r>
          </w:p>
          <w:p w:rsidR="007311DF" w:rsidRDefault="007311DF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Errichtung des totalitären Staates (Zerstörung von Rechtsstaat, Parlamentarismus und Pluralismus, Einparteienstaat und Führerdiktatur)</w:t>
            </w:r>
          </w:p>
          <w:p w:rsidR="00EE2843" w:rsidRPr="00EE2843" w:rsidRDefault="00EE2843" w:rsidP="00EE2843">
            <w:pPr>
              <w:pStyle w:val="Listenabsatz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7311DF" w:rsidRPr="003F4816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erhöhtes Niveau (Leistungskurs) </w:t>
            </w:r>
          </w:p>
          <w:p w:rsidR="00505334" w:rsidRPr="007311DF" w:rsidRDefault="007311DF" w:rsidP="00A3531D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 xml:space="preserve">War die Weimarer Republik zum Scheitern verurteilt? Vertiefende Auseinandersetzung mit unterschiedlichen Analysen und Darstellungen </w:t>
            </w:r>
          </w:p>
        </w:tc>
        <w:tc>
          <w:tcPr>
            <w:tcW w:w="5187" w:type="dxa"/>
          </w:tcPr>
          <w:p w:rsidR="00D4412D" w:rsidRDefault="00D4412D" w:rsidP="00D4412D">
            <w:pPr>
              <w:spacing w:line="160" w:lineRule="exact"/>
              <w:rPr>
                <w:sz w:val="20"/>
                <w:szCs w:val="20"/>
              </w:rPr>
            </w:pPr>
          </w:p>
          <w:p w:rsidR="00505334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226 ff.</w:t>
            </w:r>
          </w:p>
          <w:p w:rsidR="00D4412D" w:rsidRDefault="00D4412D" w:rsidP="00D4412D">
            <w:pPr>
              <w:spacing w:before="80" w:after="80" w:line="120" w:lineRule="auto"/>
              <w:rPr>
                <w:sz w:val="20"/>
                <w:szCs w:val="20"/>
                <w:lang w:val="en-US"/>
              </w:rPr>
            </w:pPr>
          </w:p>
          <w:p w:rsidR="00505334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234 ff.</w:t>
            </w:r>
          </w:p>
          <w:p w:rsidR="00D4412D" w:rsidRDefault="00D4412D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EE2843" w:rsidRPr="00D4412D" w:rsidRDefault="0039049E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val="en-US" w:eastAsia="de-DE"/>
              </w:rPr>
            </w:pPr>
            <w:r w:rsidRPr="00D4412D">
              <w:rPr>
                <w:rFonts w:eastAsia="Times New Roman"/>
                <w:color w:val="000000" w:themeColor="text1"/>
                <w:sz w:val="20"/>
                <w:szCs w:val="20"/>
                <w:lang w:val="en-US" w:eastAsia="de-DE"/>
              </w:rPr>
              <w:t>S. 258 ff.</w:t>
            </w:r>
          </w:p>
          <w:p w:rsidR="0039049E" w:rsidRPr="00D4412D" w:rsidRDefault="0039049E" w:rsidP="00A3531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39049E" w:rsidRPr="00D4412D" w:rsidRDefault="0039049E" w:rsidP="00D4412D">
            <w:pPr>
              <w:spacing w:line="320" w:lineRule="exact"/>
              <w:rPr>
                <w:sz w:val="20"/>
                <w:szCs w:val="20"/>
                <w:lang w:val="en-US"/>
              </w:rPr>
            </w:pPr>
          </w:p>
          <w:p w:rsidR="0039049E" w:rsidRPr="00D4412D" w:rsidRDefault="0039049E" w:rsidP="00A3531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r w:rsidRPr="00D4412D">
              <w:rPr>
                <w:sz w:val="20"/>
                <w:szCs w:val="20"/>
                <w:lang w:val="en-US"/>
              </w:rPr>
              <w:t>S- 248 f., 254 f.</w:t>
            </w:r>
          </w:p>
        </w:tc>
      </w:tr>
      <w:tr w:rsidR="007311DF" w:rsidRPr="00505334" w:rsidTr="00A3531D">
        <w:tc>
          <w:tcPr>
            <w:tcW w:w="10201" w:type="dxa"/>
          </w:tcPr>
          <w:p w:rsidR="007311DF" w:rsidRDefault="007311DF" w:rsidP="007311DF">
            <w:pPr>
              <w:ind w:left="709" w:hanging="709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7311DF">
              <w:rPr>
                <w:rFonts w:eastAsia="Times New Roman" w:cs="Arial"/>
                <w:b/>
                <w:sz w:val="24"/>
                <w:szCs w:val="24"/>
                <w:lang w:eastAsia="de-DE"/>
              </w:rPr>
              <w:t xml:space="preserve">Q2.3 Die nationalsozialistische Diktatur – </w:t>
            </w:r>
          </w:p>
          <w:p w:rsidR="007311DF" w:rsidRPr="007311DF" w:rsidRDefault="007311DF" w:rsidP="007311DF">
            <w:pPr>
              <w:ind w:left="709" w:hanging="709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7311DF">
              <w:rPr>
                <w:rFonts w:eastAsia="Times New Roman" w:cs="Arial"/>
                <w:b/>
                <w:sz w:val="24"/>
                <w:szCs w:val="24"/>
                <w:lang w:eastAsia="de-DE"/>
              </w:rPr>
              <w:t>Zerstörung von Demokratie und Menschenrechten in Deutschland und Europa</w:t>
            </w:r>
          </w:p>
        </w:tc>
        <w:tc>
          <w:tcPr>
            <w:tcW w:w="5187" w:type="dxa"/>
          </w:tcPr>
          <w:p w:rsidR="00837A20" w:rsidRDefault="00837A20" w:rsidP="00837A20">
            <w:pPr>
              <w:spacing w:before="80" w:after="80" w:line="120" w:lineRule="auto"/>
              <w:rPr>
                <w:b/>
                <w:sz w:val="24"/>
                <w:szCs w:val="24"/>
              </w:rPr>
            </w:pPr>
          </w:p>
          <w:p w:rsidR="007311DF" w:rsidRPr="00505334" w:rsidRDefault="00443F1C" w:rsidP="00A3531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256 – 315</w:t>
            </w:r>
          </w:p>
        </w:tc>
      </w:tr>
      <w:tr w:rsidR="007311DF" w:rsidRPr="00D4412D" w:rsidTr="00A3531D">
        <w:tc>
          <w:tcPr>
            <w:tcW w:w="10201" w:type="dxa"/>
          </w:tcPr>
          <w:p w:rsidR="007311DF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7311DF" w:rsidRPr="007311DF" w:rsidRDefault="007311DF" w:rsidP="007311DF">
            <w:pPr>
              <w:pStyle w:val="Listenabsatz"/>
              <w:numPr>
                <w:ilvl w:val="0"/>
                <w:numId w:val="8"/>
              </w:num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Grundzüge des NS-Staats: Terror und Propaganda, „Volksgemeinschaft“, Geschlechterbeziehungen, Erziehung, Vollbeschäftigung durch Aufrüstung, Exklusion von „Gemeinschaftsfremden“ (Juden, Sinti und Roma, Homosexuelle, Behinderte, „Asoziale“) [...] Zustimmung und Widerstand der deutschen Bevölkerung</w:t>
            </w:r>
          </w:p>
          <w:p w:rsidR="007311DF" w:rsidRPr="007311DF" w:rsidRDefault="007311DF" w:rsidP="007311DF">
            <w:pPr>
              <w:pStyle w:val="Listenabsatz"/>
              <w:numPr>
                <w:ilvl w:val="0"/>
                <w:numId w:val="8"/>
              </w:num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 xml:space="preserve">NS-Außenpolitik im Kontext der internationalen Beziehungen (außenpolitische Ziele der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Nationalsozialisten, Krieg</w:t>
            </w:r>
            <w:r w:rsidR="0039049E">
              <w:rPr>
                <w:rFonts w:eastAsia="Times New Roman" w:cs="Arial"/>
                <w:sz w:val="20"/>
                <w:szCs w:val="20"/>
                <w:lang w:eastAsia="de-DE"/>
              </w:rPr>
              <w:t>svorbereitung und Expansion, App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easementpolitik des We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stens, Rolle der UdSSR)</w:t>
            </w:r>
          </w:p>
          <w:p w:rsidR="007311DF" w:rsidRPr="00EE2843" w:rsidRDefault="007311DF" w:rsidP="007311DF">
            <w:pPr>
              <w:pStyle w:val="Listenabsatz"/>
              <w:numPr>
                <w:ilvl w:val="0"/>
                <w:numId w:val="8"/>
              </w:num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Völkermord und Vernichtungspolitik im Rahmen des Zweiten Weltkriegs (rassenideol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o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gischer Vernichtungskrieg gegen die Sowjetunion, Rolle von SS und Wehrmacht, Hol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o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caust und Mord an Sinti und Roma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EE2843" w:rsidRPr="00EE2843" w:rsidRDefault="00EE2843" w:rsidP="00EE2843">
            <w:pPr>
              <w:ind w:left="360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</w:p>
          <w:p w:rsidR="007311DF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7311DF" w:rsidRPr="007311DF" w:rsidRDefault="007311DF" w:rsidP="007311DF">
            <w:pPr>
              <w:pStyle w:val="Listenabsatz"/>
              <w:numPr>
                <w:ilvl w:val="0"/>
                <w:numId w:val="8"/>
              </w:num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lokal-/regionalgeschichtliche Recherche</w:t>
            </w:r>
          </w:p>
        </w:tc>
        <w:tc>
          <w:tcPr>
            <w:tcW w:w="5187" w:type="dxa"/>
          </w:tcPr>
          <w:p w:rsidR="00D4412D" w:rsidRDefault="00D4412D" w:rsidP="00D4412D">
            <w:pPr>
              <w:spacing w:before="80" w:after="80" w:line="240" w:lineRule="exact"/>
              <w:rPr>
                <w:sz w:val="20"/>
                <w:szCs w:val="20"/>
              </w:rPr>
            </w:pPr>
          </w:p>
          <w:p w:rsidR="00D4412D" w:rsidRDefault="00D4412D" w:rsidP="00D4412D">
            <w:pPr>
              <w:spacing w:before="80" w:after="80" w:line="240" w:lineRule="exact"/>
              <w:rPr>
                <w:sz w:val="20"/>
                <w:szCs w:val="20"/>
                <w:lang w:val="en-US"/>
              </w:rPr>
            </w:pPr>
          </w:p>
          <w:p w:rsidR="007311DF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258 ff., 268 ff., 276 ff., 282 f.</w:t>
            </w:r>
          </w:p>
          <w:p w:rsidR="00D4412D" w:rsidRDefault="00D4412D" w:rsidP="00443F1C">
            <w:pPr>
              <w:spacing w:line="120" w:lineRule="exact"/>
              <w:rPr>
                <w:sz w:val="20"/>
                <w:szCs w:val="20"/>
                <w:lang w:val="en-US"/>
              </w:rPr>
            </w:pPr>
          </w:p>
          <w:p w:rsidR="007311DF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284 ff., 287 ff.</w:t>
            </w:r>
          </w:p>
          <w:p w:rsidR="00443F1C" w:rsidRDefault="00443F1C" w:rsidP="00443F1C">
            <w:pPr>
              <w:spacing w:line="120" w:lineRule="exact"/>
              <w:rPr>
                <w:sz w:val="20"/>
                <w:szCs w:val="20"/>
                <w:lang w:val="en-US"/>
              </w:rPr>
            </w:pPr>
          </w:p>
          <w:p w:rsidR="007311DF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296 ff.</w:t>
            </w:r>
          </w:p>
          <w:p w:rsidR="0039049E" w:rsidRPr="00D4412D" w:rsidRDefault="0039049E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  <w:p w:rsidR="007311DF" w:rsidRPr="00D4412D" w:rsidRDefault="0039049E" w:rsidP="00A3531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r w:rsidRPr="00D4412D">
              <w:rPr>
                <w:rFonts w:eastAsia="Times New Roman"/>
                <w:color w:val="000000" w:themeColor="text1"/>
                <w:sz w:val="20"/>
                <w:szCs w:val="20"/>
                <w:lang w:val="en-US" w:eastAsia="de-DE"/>
              </w:rPr>
              <w:t>S.  266 f.</w:t>
            </w:r>
          </w:p>
        </w:tc>
      </w:tr>
    </w:tbl>
    <w:p w:rsidR="00ED4731" w:rsidRPr="00D4412D" w:rsidRDefault="00ED4731">
      <w:pPr>
        <w:rPr>
          <w:lang w:val="en-US"/>
        </w:rPr>
      </w:pPr>
      <w:r w:rsidRPr="00D4412D">
        <w:rPr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  <w:gridCol w:w="5187"/>
      </w:tblGrid>
      <w:tr w:rsidR="007311DF" w:rsidRPr="009060C0" w:rsidTr="00A3531D">
        <w:tc>
          <w:tcPr>
            <w:tcW w:w="15388" w:type="dxa"/>
            <w:gridSpan w:val="2"/>
            <w:shd w:val="clear" w:color="auto" w:fill="C00000"/>
          </w:tcPr>
          <w:p w:rsidR="007311DF" w:rsidRPr="009060C0" w:rsidRDefault="007311DF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Q3 Die Welt</w:t>
            </w:r>
            <w:r w:rsidR="00EE2843">
              <w:rPr>
                <w:rFonts w:eastAsia="Times New Roman" w:cs="Arial"/>
                <w:b/>
                <w:sz w:val="28"/>
                <w:szCs w:val="28"/>
                <w:lang w:eastAsia="de-DE"/>
              </w:rPr>
              <w:t xml:space="preserve"> nach 1945: Ost-West-Konflikt – postkoloniale Welt – Globalisierung</w:t>
            </w:r>
          </w:p>
        </w:tc>
      </w:tr>
      <w:tr w:rsidR="007311DF" w:rsidRPr="00505334" w:rsidTr="00A3531D">
        <w:tc>
          <w:tcPr>
            <w:tcW w:w="10201" w:type="dxa"/>
          </w:tcPr>
          <w:p w:rsidR="007311DF" w:rsidRPr="007311DF" w:rsidRDefault="007311DF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7311DF">
              <w:rPr>
                <w:rFonts w:eastAsia="Times New Roman" w:cs="Arial"/>
                <w:b/>
                <w:sz w:val="24"/>
                <w:szCs w:val="24"/>
                <w:lang w:eastAsia="de-DE"/>
              </w:rPr>
              <w:t>Q3.1 Der Kalte Krieg  – stabile oder labile Weltordnung?</w:t>
            </w:r>
          </w:p>
        </w:tc>
        <w:tc>
          <w:tcPr>
            <w:tcW w:w="5187" w:type="dxa"/>
          </w:tcPr>
          <w:p w:rsidR="007311DF" w:rsidRPr="00505334" w:rsidRDefault="00443F1C" w:rsidP="007311DF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316</w:t>
            </w:r>
            <w:r w:rsidR="000863AB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353</w:t>
            </w:r>
          </w:p>
        </w:tc>
      </w:tr>
      <w:tr w:rsidR="007311DF" w:rsidRPr="0096269A" w:rsidTr="00A3531D">
        <w:tc>
          <w:tcPr>
            <w:tcW w:w="10201" w:type="dxa"/>
          </w:tcPr>
          <w:p w:rsidR="007311DF" w:rsidRPr="007311DF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7311DF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7311DF" w:rsidRPr="00EE2843" w:rsidRDefault="007311DF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Blockbildung und Blockkonfrontation (Zerfall der Anti-Hitler-Koalition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F4816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7311DF">
              <w:rPr>
                <w:rFonts w:eastAsia="Times New Roman" w:cs="Arial"/>
                <w:sz w:val="20"/>
                <w:szCs w:val="20"/>
                <w:lang w:eastAsia="de-DE"/>
              </w:rPr>
              <w:t>Truman-Doktrin/Zwei-Lager-Theorie, NATO / Warschauer Pakt, Rüstungswettlauf, Koreakrieg, Kubakrise)</w:t>
            </w:r>
          </w:p>
          <w:p w:rsidR="007311DF" w:rsidRPr="00EE2843" w:rsidRDefault="007311DF" w:rsidP="007311DF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geteiltes Europa im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Kalten Krieg (Deutsche Teilung [...]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Westeuropa: Allianz mit den USA und Schritte zur Einigung)</w:t>
            </w:r>
          </w:p>
          <w:p w:rsidR="007311DF" w:rsidRPr="00903567" w:rsidRDefault="007311DF" w:rsidP="007311DF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Koexistenz und Krise (Entspannungspolitik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„Neue Eiszeit“, Opposition und Reform im Ostblock)</w:t>
            </w:r>
          </w:p>
          <w:p w:rsidR="007311DF" w:rsidRDefault="007311DF" w:rsidP="007311DF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7311DF" w:rsidRPr="003721E0" w:rsidRDefault="007311DF" w:rsidP="007311DF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7311DF" w:rsidRPr="00EE2843" w:rsidRDefault="007311DF" w:rsidP="007311DF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vertiefende Auseinandersetzung mit Interpretationen und Kontroversen zu den Ursachen des Kalten Krieges</w:t>
            </w:r>
          </w:p>
          <w:p w:rsidR="007311DF" w:rsidRPr="007311DF" w:rsidRDefault="007311DF" w:rsidP="007311DF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5187" w:type="dxa"/>
          </w:tcPr>
          <w:p w:rsidR="00443F1C" w:rsidRDefault="00443F1C" w:rsidP="00443F1C">
            <w:pPr>
              <w:spacing w:line="120" w:lineRule="exact"/>
              <w:rPr>
                <w:sz w:val="20"/>
                <w:szCs w:val="20"/>
              </w:rPr>
            </w:pPr>
          </w:p>
          <w:p w:rsidR="007311DF" w:rsidRPr="00D4412D" w:rsidRDefault="00464943" w:rsidP="0039049E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D4412D">
              <w:rPr>
                <w:sz w:val="20"/>
                <w:szCs w:val="20"/>
                <w:lang w:val="en-US"/>
              </w:rPr>
              <w:t>S. 320 ff., S. 324 ff.., S. 331 ff.,</w:t>
            </w:r>
          </w:p>
          <w:p w:rsidR="00443F1C" w:rsidRPr="00D4412D" w:rsidRDefault="00443F1C" w:rsidP="00443F1C">
            <w:pPr>
              <w:spacing w:before="80" w:after="80" w:line="300" w:lineRule="exact"/>
              <w:rPr>
                <w:sz w:val="20"/>
                <w:szCs w:val="20"/>
                <w:lang w:val="en-US"/>
              </w:rPr>
            </w:pPr>
          </w:p>
          <w:p w:rsidR="007311DF" w:rsidRPr="00464943" w:rsidRDefault="00464943" w:rsidP="00A3531D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  <w:r w:rsidRPr="00464943">
              <w:rPr>
                <w:sz w:val="20"/>
                <w:szCs w:val="20"/>
                <w:lang w:val="en-US"/>
              </w:rPr>
              <w:t>S. 356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64943">
              <w:rPr>
                <w:sz w:val="20"/>
                <w:szCs w:val="20"/>
                <w:lang w:val="en-US"/>
              </w:rPr>
              <w:t>ff., 366 ff.</w:t>
            </w:r>
            <w:r>
              <w:rPr>
                <w:sz w:val="20"/>
                <w:szCs w:val="20"/>
                <w:lang w:val="en-US"/>
              </w:rPr>
              <w:t>,</w:t>
            </w:r>
            <w:r w:rsidRPr="00464943">
              <w:rPr>
                <w:sz w:val="20"/>
                <w:szCs w:val="20"/>
                <w:lang w:val="en-US"/>
              </w:rPr>
              <w:t xml:space="preserve"> 378 ff.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64943">
              <w:rPr>
                <w:sz w:val="20"/>
                <w:szCs w:val="20"/>
                <w:lang w:val="en-US"/>
              </w:rPr>
              <w:t>S. 474 ff.</w:t>
            </w:r>
          </w:p>
          <w:p w:rsidR="007311DF" w:rsidRPr="00464943" w:rsidRDefault="00464943" w:rsidP="00A3531D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  <w:r w:rsidRPr="00464943">
              <w:rPr>
                <w:sz w:val="20"/>
                <w:szCs w:val="20"/>
                <w:lang w:val="en-US"/>
              </w:rPr>
              <w:t>S. 333 ff., S. 341, S. 390 ff., S. 398 ff.</w:t>
            </w:r>
          </w:p>
          <w:p w:rsidR="007311DF" w:rsidRPr="00464943" w:rsidRDefault="007311DF" w:rsidP="00443F1C">
            <w:pPr>
              <w:spacing w:before="80" w:after="80" w:line="340" w:lineRule="exact"/>
              <w:ind w:left="34"/>
              <w:rPr>
                <w:sz w:val="20"/>
                <w:szCs w:val="20"/>
                <w:lang w:val="en-US"/>
              </w:rPr>
            </w:pPr>
          </w:p>
          <w:p w:rsidR="007311DF" w:rsidRPr="00464943" w:rsidRDefault="00464943" w:rsidP="00A3531D">
            <w:pP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</w:pPr>
            <w:r w:rsidRPr="00464943"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S.  346 ff.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de-DE"/>
              </w:rPr>
              <w:t>, S. 352 f.</w:t>
            </w:r>
          </w:p>
        </w:tc>
      </w:tr>
      <w:tr w:rsidR="007311DF" w:rsidRPr="00505334" w:rsidTr="00A3531D">
        <w:tc>
          <w:tcPr>
            <w:tcW w:w="10201" w:type="dxa"/>
          </w:tcPr>
          <w:p w:rsidR="007311DF" w:rsidRPr="007311DF" w:rsidRDefault="007311DF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7311DF">
              <w:rPr>
                <w:rFonts w:eastAsia="Times New Roman" w:cs="Arial"/>
                <w:b/>
                <w:sz w:val="24"/>
                <w:szCs w:val="24"/>
                <w:lang w:eastAsia="de-DE"/>
              </w:rPr>
              <w:t>Q3.3 Deutschland von der Teilung zur Einheit</w:t>
            </w:r>
          </w:p>
        </w:tc>
        <w:tc>
          <w:tcPr>
            <w:tcW w:w="5187" w:type="dxa"/>
          </w:tcPr>
          <w:p w:rsidR="007311DF" w:rsidRPr="00505334" w:rsidRDefault="000863AB" w:rsidP="00A3531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354 – </w:t>
            </w:r>
            <w:r w:rsidR="00443F1C">
              <w:rPr>
                <w:b/>
                <w:sz w:val="24"/>
                <w:szCs w:val="24"/>
              </w:rPr>
              <w:t>435</w:t>
            </w:r>
          </w:p>
        </w:tc>
      </w:tr>
      <w:tr w:rsidR="007311DF" w:rsidRPr="000863AB" w:rsidTr="00A3531D">
        <w:tc>
          <w:tcPr>
            <w:tcW w:w="10201" w:type="dxa"/>
          </w:tcPr>
          <w:p w:rsidR="00EE2843" w:rsidRPr="003721E0" w:rsidRDefault="00EE2843" w:rsidP="00EE2843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EE2843" w:rsidRPr="00903567" w:rsidRDefault="00EE2843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Entwicklung der innerdeutschen Beziehungen (Hallsteindoktrin, Neue Ostpolitik)</w:t>
            </w:r>
          </w:p>
          <w:p w:rsidR="00EE2843" w:rsidRPr="00903567" w:rsidRDefault="00EE2843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gesellschaftlicher Aufbruch in West und Ost (z. B. Geschlechterbeziehungen, „1968“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[...])</w:t>
            </w:r>
          </w:p>
          <w:p w:rsidR="00EE2843" w:rsidRPr="00903567" w:rsidRDefault="00EE2843" w:rsidP="00EE2843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Revolution in der DDR und Prozess der deutschen Einigung (Glasnost und Perestroika, oppositionelle Bewegung in der DDR und Mauerfall, der Weg zur Vereinigung der be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den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deutschen Staaten im internationalen Kontext)</w:t>
            </w:r>
          </w:p>
          <w:p w:rsidR="00EE2843" w:rsidRDefault="00EE2843" w:rsidP="00EE284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EE2843" w:rsidRPr="003721E0" w:rsidRDefault="00EE2843" w:rsidP="00EE2843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erhöhtes Niveau (Leistungskurs)</w:t>
            </w:r>
          </w:p>
          <w:p w:rsidR="007311DF" w:rsidRDefault="00EE2843" w:rsidP="00A3531D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vertiefende Auseinandersetzung mit Interpretationen und Kontroversen zu den Auswi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kungen der Entspannungspolitik (z. B. „Wandel durch Annäherung“ oder Stabilisierung der DDR durch die Entspannungspolitik?)</w:t>
            </w:r>
          </w:p>
          <w:p w:rsidR="00443F1C" w:rsidRPr="00443F1C" w:rsidRDefault="00443F1C" w:rsidP="00A3531D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5187" w:type="dxa"/>
          </w:tcPr>
          <w:p w:rsidR="00443F1C" w:rsidRPr="00443F1C" w:rsidRDefault="00443F1C" w:rsidP="00443F1C">
            <w:pPr>
              <w:spacing w:line="120" w:lineRule="exact"/>
              <w:rPr>
                <w:sz w:val="20"/>
                <w:szCs w:val="20"/>
              </w:rPr>
            </w:pPr>
          </w:p>
          <w:p w:rsidR="007311DF" w:rsidRPr="000863AB" w:rsidRDefault="00464943" w:rsidP="00F244E9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0863AB">
              <w:rPr>
                <w:sz w:val="20"/>
                <w:szCs w:val="20"/>
                <w:lang w:val="en-US"/>
              </w:rPr>
              <w:t>S. 390 ff., S. 369 ff.</w:t>
            </w:r>
            <w:r w:rsidR="00F244E9" w:rsidRPr="000863AB">
              <w:rPr>
                <w:sz w:val="20"/>
                <w:szCs w:val="20"/>
                <w:lang w:val="en-US"/>
              </w:rPr>
              <w:t>, 378 ff.</w:t>
            </w:r>
          </w:p>
          <w:p w:rsidR="00F244E9" w:rsidRPr="000863AB" w:rsidRDefault="00443F1C" w:rsidP="00A3531D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  <w:r w:rsidRPr="000863AB">
              <w:rPr>
                <w:sz w:val="20"/>
                <w:szCs w:val="20"/>
                <w:lang w:val="en-US"/>
              </w:rPr>
              <w:t>S. 400 ff.</w:t>
            </w:r>
          </w:p>
          <w:p w:rsidR="007311DF" w:rsidRPr="000863AB" w:rsidRDefault="00F244E9" w:rsidP="00A3531D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  <w:r w:rsidRPr="000863AB">
              <w:rPr>
                <w:sz w:val="20"/>
                <w:szCs w:val="20"/>
                <w:lang w:val="en-US"/>
              </w:rPr>
              <w:t>S. 412 ff., 426 ff.</w:t>
            </w:r>
          </w:p>
          <w:p w:rsidR="007311DF" w:rsidRPr="000863AB" w:rsidRDefault="007311DF" w:rsidP="00A3531D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</w:p>
          <w:p w:rsidR="00F244E9" w:rsidRPr="000863AB" w:rsidRDefault="00F244E9" w:rsidP="00F244E9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  <w:p w:rsidR="00443F1C" w:rsidRPr="000863AB" w:rsidRDefault="00443F1C" w:rsidP="00F244E9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  <w:p w:rsidR="007311DF" w:rsidRPr="000863AB" w:rsidRDefault="00F244E9" w:rsidP="00443F1C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  <w:r w:rsidRPr="000863AB">
              <w:rPr>
                <w:sz w:val="20"/>
                <w:szCs w:val="20"/>
                <w:lang w:val="en-US"/>
              </w:rPr>
              <w:t>S. 410 f., S. 422  ff.</w:t>
            </w:r>
          </w:p>
          <w:p w:rsidR="00443F1C" w:rsidRPr="000863AB" w:rsidRDefault="00443F1C" w:rsidP="00443F1C">
            <w:pPr>
              <w:spacing w:before="80" w:after="80"/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EE2843" w:rsidRPr="00505334" w:rsidTr="00A3531D">
        <w:tc>
          <w:tcPr>
            <w:tcW w:w="10201" w:type="dxa"/>
          </w:tcPr>
          <w:p w:rsidR="00EE2843" w:rsidRPr="007311DF" w:rsidRDefault="00EE2843" w:rsidP="00A3531D">
            <w:pPr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EE2843">
              <w:rPr>
                <w:rFonts w:eastAsia="Times New Roman" w:cs="Arial"/>
                <w:b/>
                <w:sz w:val="24"/>
                <w:szCs w:val="24"/>
                <w:lang w:eastAsia="de-DE"/>
              </w:rPr>
              <w:t>Q3.4 Weltpolitische Entwicklungen zwischen Bipolarität und Multipolarität</w:t>
            </w:r>
          </w:p>
        </w:tc>
        <w:tc>
          <w:tcPr>
            <w:tcW w:w="5187" w:type="dxa"/>
          </w:tcPr>
          <w:p w:rsidR="00443F1C" w:rsidRPr="00505334" w:rsidRDefault="00443F1C" w:rsidP="00A3531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472 – 525</w:t>
            </w:r>
          </w:p>
        </w:tc>
      </w:tr>
      <w:tr w:rsidR="00ED4731" w:rsidRPr="00505334" w:rsidTr="00A3531D">
        <w:tc>
          <w:tcPr>
            <w:tcW w:w="10201" w:type="dxa"/>
          </w:tcPr>
          <w:p w:rsidR="00ED4731" w:rsidRPr="003721E0" w:rsidRDefault="00ED4731" w:rsidP="00ED4731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721E0">
              <w:rPr>
                <w:rFonts w:eastAsia="Times New Roman" w:cs="Arial"/>
                <w:i/>
                <w:sz w:val="20"/>
                <w:szCs w:val="20"/>
                <w:lang w:eastAsia="de-DE"/>
              </w:rPr>
              <w:t>grundlegendes Niveau (Grundkurs und Leistungskurs)</w:t>
            </w:r>
          </w:p>
          <w:p w:rsidR="00ED4731" w:rsidRDefault="00ED4731" w:rsidP="00ED4731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</w:p>
          <w:p w:rsidR="00ED4731" w:rsidRPr="00903567" w:rsidRDefault="00ED4731" w:rsidP="00ED4731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[...]</w:t>
            </w:r>
          </w:p>
          <w:p w:rsidR="00ED4731" w:rsidRPr="00ED4731" w:rsidRDefault="00ED4731" w:rsidP="00A3531D">
            <w:pPr>
              <w:pStyle w:val="Listenabsatz"/>
              <w:numPr>
                <w:ilvl w:val="0"/>
                <w:numId w:val="7"/>
              </w:num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03567">
              <w:rPr>
                <w:rFonts w:eastAsia="Times New Roman" w:cs="Arial"/>
                <w:sz w:val="20"/>
                <w:szCs w:val="20"/>
                <w:lang w:eastAsia="de-DE"/>
              </w:rPr>
              <w:t>Unabhängigkeitsbewegungen und Dekolonisation (z. B. Indien [...]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187" w:type="dxa"/>
          </w:tcPr>
          <w:p w:rsidR="00F244E9" w:rsidRDefault="00ED4731" w:rsidP="00A3531D">
            <w:pPr>
              <w:spacing w:before="80" w:after="8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4731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F244E9">
              <w:rPr>
                <w:rFonts w:eastAsia="Times New Roman" w:cs="Arial"/>
                <w:sz w:val="20"/>
                <w:szCs w:val="20"/>
                <w:lang w:eastAsia="de-DE"/>
              </w:rPr>
              <w:t xml:space="preserve">. 327, S. 330 </w:t>
            </w:r>
          </w:p>
          <w:p w:rsidR="00F244E9" w:rsidRDefault="00F244E9" w:rsidP="00A3531D">
            <w:pPr>
              <w:spacing w:before="80" w:after="8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ED4731" w:rsidRPr="00ED4731" w:rsidRDefault="00ED4731" w:rsidP="00A3531D">
            <w:pPr>
              <w:spacing w:before="80" w:after="80"/>
              <w:rPr>
                <w:b/>
                <w:sz w:val="20"/>
                <w:szCs w:val="20"/>
              </w:rPr>
            </w:pPr>
            <w:r w:rsidRPr="00ED4731">
              <w:rPr>
                <w:rFonts w:eastAsia="Times New Roman" w:cs="Arial"/>
                <w:color w:val="FF0000"/>
                <w:sz w:val="20"/>
                <w:szCs w:val="20"/>
                <w:lang w:eastAsia="de-DE"/>
              </w:rPr>
              <w:t>O</w:t>
            </w:r>
            <w:r w:rsidRPr="00ED4731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ED4731">
              <w:rPr>
                <w:rFonts w:eastAsia="Times New Roman" w:cs="Arial"/>
                <w:color w:val="FF0000"/>
                <w:sz w:val="20"/>
                <w:szCs w:val="20"/>
                <w:lang w:eastAsia="de-DE"/>
              </w:rPr>
              <w:t>L</w:t>
            </w:r>
            <w:r w:rsidRPr="00ED4731">
              <w:rPr>
                <w:rFonts w:eastAsia="Times New Roman" w:cs="Arial"/>
                <w:sz w:val="20"/>
                <w:szCs w:val="20"/>
                <w:lang w:eastAsia="de-DE"/>
              </w:rPr>
              <w:t>ine-Kapitel „</w:t>
            </w:r>
            <w:r w:rsidRPr="00ED4731">
              <w:rPr>
                <w:sz w:val="20"/>
                <w:szCs w:val="20"/>
              </w:rPr>
              <w:t xml:space="preserve">Unabhängigkeitsbewegung und Dekolonisation Indiens“ (OnLine-Code </w:t>
            </w:r>
            <w:r w:rsidRPr="00ED4731">
              <w:rPr>
                <w:b/>
                <w:sz w:val="20"/>
                <w:szCs w:val="20"/>
              </w:rPr>
              <w:t>4673-00</w:t>
            </w:r>
            <w:r w:rsidRPr="00ED4731">
              <w:rPr>
                <w:sz w:val="20"/>
                <w:szCs w:val="20"/>
              </w:rPr>
              <w:t>)</w:t>
            </w:r>
          </w:p>
        </w:tc>
      </w:tr>
    </w:tbl>
    <w:p w:rsidR="00EE2843" w:rsidRDefault="00EE2843" w:rsidP="00EE2843">
      <w:pPr>
        <w:rPr>
          <w:sz w:val="20"/>
          <w:szCs w:val="20"/>
        </w:rPr>
      </w:pPr>
    </w:p>
    <w:p w:rsidR="00EE2843" w:rsidRPr="00EE2843" w:rsidRDefault="00EE2843" w:rsidP="00EE2843">
      <w:pPr>
        <w:spacing w:after="0"/>
        <w:rPr>
          <w:b/>
          <w:i/>
          <w:sz w:val="20"/>
          <w:szCs w:val="20"/>
        </w:rPr>
      </w:pPr>
      <w:r w:rsidRPr="00EE2843">
        <w:rPr>
          <w:b/>
          <w:i/>
          <w:sz w:val="20"/>
          <w:szCs w:val="20"/>
        </w:rPr>
        <w:t>Hinweise zur Vorbereitung auf die schriftlichen Abiturprüfungen im Landesabitur 2019, S. 32-34; zitiert nach:</w:t>
      </w:r>
    </w:p>
    <w:p w:rsidR="00EE2843" w:rsidRPr="00EE2843" w:rsidRDefault="00AC0829" w:rsidP="00EE2843">
      <w:pPr>
        <w:spacing w:after="0"/>
        <w:rPr>
          <w:b/>
          <w:i/>
          <w:sz w:val="20"/>
          <w:szCs w:val="20"/>
        </w:rPr>
      </w:pPr>
      <w:hyperlink r:id="rId10" w:history="1">
        <w:r w:rsidR="00EE2843" w:rsidRPr="00EE2843">
          <w:rPr>
            <w:rStyle w:val="Hyperlink"/>
            <w:b/>
            <w:i/>
            <w:sz w:val="20"/>
            <w:szCs w:val="20"/>
            <w:u w:val="none"/>
          </w:rPr>
          <w:t>https://kultusministerium.hessen.de/sites/default/files/media/hkm/la19-abiturerlass.pdf</w:t>
        </w:r>
      </w:hyperlink>
      <w:r w:rsidR="00EE2843" w:rsidRPr="00EE2843">
        <w:rPr>
          <w:b/>
          <w:i/>
          <w:sz w:val="20"/>
          <w:szCs w:val="20"/>
        </w:rPr>
        <w:t xml:space="preserve"> (Zugriff: 26.06.2017)</w:t>
      </w:r>
    </w:p>
    <w:sectPr w:rsidR="00EE2843" w:rsidRPr="00EE2843" w:rsidSect="002171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3E" w:rsidRDefault="00F0763E" w:rsidP="00952204">
      <w:pPr>
        <w:spacing w:after="0" w:line="240" w:lineRule="auto"/>
      </w:pPr>
      <w:r>
        <w:separator/>
      </w:r>
    </w:p>
  </w:endnote>
  <w:endnote w:type="continuationSeparator" w:id="0">
    <w:p w:rsidR="00F0763E" w:rsidRDefault="00F0763E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50" w:rsidRDefault="003145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04" w:rsidRDefault="00C251D7" w:rsidP="00314550">
    <w:pPr>
      <w:pStyle w:val="Fuzeile"/>
      <w:numPr>
        <w:ilvl w:val="0"/>
        <w:numId w:val="6"/>
      </w:numPr>
      <w:jc w:val="center"/>
    </w:pPr>
    <w:r>
      <w:rPr>
        <w:rFonts w:ascii="Calibri" w:hAnsi="Calibri" w:cs="Arial"/>
      </w:rPr>
      <w:t>Buchners Kolleg Geschichte</w:t>
    </w:r>
    <w:r w:rsidR="0054117D">
      <w:rPr>
        <w:rFonts w:ascii="Calibri" w:hAnsi="Calibri" w:cs="Arial"/>
      </w:rPr>
      <w:t xml:space="preserve"> –</w:t>
    </w:r>
    <w:r w:rsidR="00314550">
      <w:rPr>
        <w:rFonts w:ascii="Calibri" w:hAnsi="Calibri" w:cs="Arial"/>
      </w:rPr>
      <w:t xml:space="preserve"> Neue Ausgabe Hessen, Qualifikationsphase (ISBN 978-3-661-4673-1</w:t>
    </w:r>
    <w:r w:rsidR="0054117D">
      <w:rPr>
        <w:rFonts w:ascii="Calibri" w:hAnsi="Calibri" w:cs="Arial"/>
      </w:rPr>
      <w:t xml:space="preserve">) </w:t>
    </w:r>
    <w:r w:rsidR="00314550">
      <w:rPr>
        <w:rFonts w:ascii="Calibri" w:hAnsi="Calibri" w:cs="Arial"/>
      </w:rPr>
      <w:br/>
    </w:r>
    <w:r w:rsidR="0054117D">
      <w:rPr>
        <w:rFonts w:ascii="Calibri" w:hAnsi="Calibri" w:cs="Arial"/>
      </w:rPr>
      <w:t>|</w:t>
    </w:r>
    <w:r w:rsidR="00952204">
      <w:rPr>
        <w:rFonts w:ascii="Calibri" w:hAnsi="Calibri" w:cs="Arial"/>
      </w:rPr>
      <w:t xml:space="preserve"> C.C.Buchner Verlag |</w:t>
    </w:r>
    <w:r w:rsidR="00952204" w:rsidRPr="00761883">
      <w:rPr>
        <w:rFonts w:ascii="Calibri" w:hAnsi="Calibri" w:cs="Arial"/>
      </w:rPr>
      <w:t xml:space="preserve"> Telefon +49 951 16098-</w:t>
    </w:r>
    <w:r w:rsidR="00952204">
      <w:rPr>
        <w:rFonts w:ascii="Calibri" w:hAnsi="Calibri" w:cs="Arial"/>
      </w:rPr>
      <w:t>200 |</w:t>
    </w:r>
    <w:r w:rsidR="00952204" w:rsidRPr="00761883">
      <w:rPr>
        <w:rFonts w:ascii="Calibri" w:hAnsi="Calibri" w:cs="Arial"/>
      </w:rPr>
      <w:t xml:space="preserve"> </w:t>
    </w:r>
    <w:hyperlink r:id="rId1" w:history="1">
      <w:r w:rsidR="00952204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A755AE">
      <w:rPr>
        <w:rStyle w:val="Hyperlink"/>
        <w:rFonts w:ascii="Calibri" w:hAnsi="Calibri" w:cs="Arial"/>
        <w:color w:val="000000"/>
        <w:u w:val="none"/>
      </w:rPr>
      <w:t xml:space="preserve"> </w:t>
    </w:r>
    <w:r w:rsidR="00A755AE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3E" w:rsidRDefault="00F0763E" w:rsidP="00952204">
      <w:pPr>
        <w:spacing w:after="0" w:line="240" w:lineRule="auto"/>
      </w:pPr>
      <w:r>
        <w:separator/>
      </w:r>
    </w:p>
  </w:footnote>
  <w:footnote w:type="continuationSeparator" w:id="0">
    <w:p w:rsidR="00F0763E" w:rsidRDefault="00F0763E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50" w:rsidRDefault="003145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E378CD" w:rsidRDefault="00E378C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C082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C082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78CD" w:rsidRDefault="00E378C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04" w:rsidRDefault="0089120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55pt;height:11.9pt;visibility:visible;mso-wrap-style:square" o:bullet="t">
        <v:imagedata r:id="rId1" o:title="roter_Pfeil_klein"/>
      </v:shape>
    </w:pict>
  </w:numPicBullet>
  <w:abstractNum w:abstractNumId="0" w15:restartNumberingAfterBreak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322C"/>
    <w:multiLevelType w:val="hybridMultilevel"/>
    <w:tmpl w:val="6A2470E4"/>
    <w:lvl w:ilvl="0" w:tplc="C0CA7D68">
      <w:start w:val="11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A50354"/>
    <w:multiLevelType w:val="hybridMultilevel"/>
    <w:tmpl w:val="EEBA0E04"/>
    <w:lvl w:ilvl="0" w:tplc="260041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A"/>
    <w:rsid w:val="00042247"/>
    <w:rsid w:val="00050CA8"/>
    <w:rsid w:val="000863AB"/>
    <w:rsid w:val="000925DB"/>
    <w:rsid w:val="000C13C3"/>
    <w:rsid w:val="001471EB"/>
    <w:rsid w:val="001F06C4"/>
    <w:rsid w:val="00207B7F"/>
    <w:rsid w:val="00211177"/>
    <w:rsid w:val="002171FC"/>
    <w:rsid w:val="00237F9F"/>
    <w:rsid w:val="00246878"/>
    <w:rsid w:val="002B6A6C"/>
    <w:rsid w:val="002E4872"/>
    <w:rsid w:val="002F0B68"/>
    <w:rsid w:val="00314550"/>
    <w:rsid w:val="003328EB"/>
    <w:rsid w:val="0039049E"/>
    <w:rsid w:val="003C7D68"/>
    <w:rsid w:val="003E1580"/>
    <w:rsid w:val="003E474C"/>
    <w:rsid w:val="00443F1C"/>
    <w:rsid w:val="00464943"/>
    <w:rsid w:val="004C5B79"/>
    <w:rsid w:val="00505334"/>
    <w:rsid w:val="0054117D"/>
    <w:rsid w:val="005667EC"/>
    <w:rsid w:val="005D0980"/>
    <w:rsid w:val="0061667B"/>
    <w:rsid w:val="00670519"/>
    <w:rsid w:val="006E6252"/>
    <w:rsid w:val="006F2378"/>
    <w:rsid w:val="007311DF"/>
    <w:rsid w:val="00733978"/>
    <w:rsid w:val="007822C5"/>
    <w:rsid w:val="007B4E7B"/>
    <w:rsid w:val="007F2BED"/>
    <w:rsid w:val="008170B3"/>
    <w:rsid w:val="00837A20"/>
    <w:rsid w:val="0085411D"/>
    <w:rsid w:val="00891204"/>
    <w:rsid w:val="008B45A2"/>
    <w:rsid w:val="008D6D3A"/>
    <w:rsid w:val="009060C0"/>
    <w:rsid w:val="009062C4"/>
    <w:rsid w:val="00952204"/>
    <w:rsid w:val="0096269A"/>
    <w:rsid w:val="00970238"/>
    <w:rsid w:val="009E2B8F"/>
    <w:rsid w:val="00A12F95"/>
    <w:rsid w:val="00A733DD"/>
    <w:rsid w:val="00A755AE"/>
    <w:rsid w:val="00AA6662"/>
    <w:rsid w:val="00AC0829"/>
    <w:rsid w:val="00AF1F4F"/>
    <w:rsid w:val="00B23453"/>
    <w:rsid w:val="00B506C7"/>
    <w:rsid w:val="00BB018D"/>
    <w:rsid w:val="00BB5421"/>
    <w:rsid w:val="00C020A1"/>
    <w:rsid w:val="00C2017C"/>
    <w:rsid w:val="00C251D7"/>
    <w:rsid w:val="00C74681"/>
    <w:rsid w:val="00CF4B15"/>
    <w:rsid w:val="00D143E3"/>
    <w:rsid w:val="00D26AB5"/>
    <w:rsid w:val="00D4412D"/>
    <w:rsid w:val="00D55F18"/>
    <w:rsid w:val="00D61B00"/>
    <w:rsid w:val="00DB14B5"/>
    <w:rsid w:val="00DC795B"/>
    <w:rsid w:val="00E04DFA"/>
    <w:rsid w:val="00E378CD"/>
    <w:rsid w:val="00E71252"/>
    <w:rsid w:val="00E737F8"/>
    <w:rsid w:val="00ED4731"/>
    <w:rsid w:val="00EE2843"/>
    <w:rsid w:val="00F0763E"/>
    <w:rsid w:val="00F244E9"/>
    <w:rsid w:val="00F249D9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C62FA-FB8F-4302-B3F5-4763E86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ultusministerium.hessen.de/sites/default/files/media/hkm/la19-abiturerlas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6681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Ertl - C.C.Buchner Verlag</cp:lastModifiedBy>
  <cp:revision>2</cp:revision>
  <cp:lastPrinted>2017-08-01T13:27:00Z</cp:lastPrinted>
  <dcterms:created xsi:type="dcterms:W3CDTF">2017-08-01T13:30:00Z</dcterms:created>
  <dcterms:modified xsi:type="dcterms:W3CDTF">2017-08-01T13:30:00Z</dcterms:modified>
</cp:coreProperties>
</file>