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5000" w:type="pct"/>
        <w:tblLook w:val="04A0" w:firstRow="1" w:lastRow="0" w:firstColumn="1" w:lastColumn="0" w:noHBand="0" w:noVBand="1"/>
      </w:tblPr>
      <w:tblGrid>
        <w:gridCol w:w="661"/>
        <w:gridCol w:w="4010"/>
        <w:gridCol w:w="584"/>
        <w:gridCol w:w="4238"/>
        <w:gridCol w:w="5633"/>
      </w:tblGrid>
      <w:tr w:rsidR="00B5512F" w:rsidRPr="00CD234D" w:rsidTr="00B5512F">
        <w:tc>
          <w:tcPr>
            <w:tcW w:w="5000" w:type="pct"/>
            <w:gridSpan w:val="5"/>
            <w:tcBorders>
              <w:top w:val="single" w:sz="4" w:space="0" w:color="auto"/>
              <w:left w:val="single" w:sz="4" w:space="0" w:color="auto"/>
              <w:bottom w:val="single" w:sz="4" w:space="0" w:color="auto"/>
              <w:right w:val="single" w:sz="4" w:space="0" w:color="auto"/>
            </w:tcBorders>
            <w:shd w:val="clear" w:color="auto" w:fill="C00000"/>
            <w:vAlign w:val="center"/>
          </w:tcPr>
          <w:p w:rsidR="00B5512F" w:rsidRPr="00CD234D" w:rsidRDefault="00B5512F" w:rsidP="002C2889">
            <w:pPr>
              <w:spacing w:before="120" w:after="120"/>
              <w:rPr>
                <w:rFonts w:cs="Arial"/>
                <w:b/>
                <w:bCs/>
              </w:rPr>
            </w:pPr>
            <w:r w:rsidRPr="00C24D3B">
              <w:rPr>
                <w:b/>
              </w:rPr>
              <w:t>ER1</w:t>
            </w:r>
            <w:r w:rsidR="002C2889">
              <w:rPr>
                <w:b/>
              </w:rPr>
              <w:t>1</w:t>
            </w:r>
            <w:r w:rsidRPr="00C24D3B">
              <w:rPr>
                <w:b/>
              </w:rPr>
              <w:t xml:space="preserve"> Lernbereich 1: </w:t>
            </w:r>
            <w:r w:rsidR="002C2889">
              <w:rPr>
                <w:b/>
              </w:rPr>
              <w:t>Glaube und Vernunft – alte und neue Herausforderungen</w:t>
            </w:r>
            <w:r w:rsidRPr="00C24D3B">
              <w:rPr>
                <w:b/>
              </w:rPr>
              <w:t xml:space="preserve"> (ca. 1</w:t>
            </w:r>
            <w:r w:rsidR="002C2889">
              <w:rPr>
                <w:b/>
              </w:rPr>
              <w:t>4</w:t>
            </w:r>
            <w:r w:rsidRPr="00C24D3B">
              <w:rPr>
                <w:b/>
              </w:rPr>
              <w:t xml:space="preserve"> Std.)</w:t>
            </w:r>
          </w:p>
        </w:tc>
      </w:tr>
      <w:tr w:rsidR="00B5512F" w:rsidRPr="00FD6CEB" w:rsidTr="002437DB">
        <w:tc>
          <w:tcPr>
            <w:tcW w:w="218" w:type="pct"/>
            <w:tcBorders>
              <w:top w:val="single" w:sz="4" w:space="0" w:color="auto"/>
            </w:tcBorders>
            <w:shd w:val="clear" w:color="auto" w:fill="AEAAAA" w:themeFill="background2" w:themeFillShade="BF"/>
            <w:vAlign w:val="center"/>
          </w:tcPr>
          <w:p w:rsidR="00C24D3B" w:rsidRPr="00FD6CEB" w:rsidRDefault="00C24D3B" w:rsidP="00B5512F">
            <w:pPr>
              <w:rPr>
                <w:rFonts w:cs="Arial"/>
                <w:b/>
                <w:bCs/>
              </w:rPr>
            </w:pPr>
          </w:p>
        </w:tc>
        <w:tc>
          <w:tcPr>
            <w:tcW w:w="1326" w:type="pct"/>
            <w:tcBorders>
              <w:top w:val="single" w:sz="4" w:space="0" w:color="auto"/>
            </w:tcBorders>
            <w:shd w:val="clear" w:color="auto" w:fill="AEAAAA" w:themeFill="background2" w:themeFillShade="BF"/>
            <w:vAlign w:val="center"/>
          </w:tcPr>
          <w:p w:rsidR="00C24D3B" w:rsidRPr="00FD6CEB" w:rsidRDefault="00C24D3B" w:rsidP="00B5512F">
            <w:pPr>
              <w:rPr>
                <w:rFonts w:cs="Arial"/>
                <w:b/>
                <w:bCs/>
              </w:rPr>
            </w:pPr>
            <w:r w:rsidRPr="00FD6CEB">
              <w:rPr>
                <w:rFonts w:cs="Arial"/>
                <w:b/>
                <w:bCs/>
              </w:rPr>
              <w:t>Kompetenzerwartungen (KE)</w:t>
            </w:r>
            <w:r>
              <w:rPr>
                <w:rFonts w:cs="Arial"/>
                <w:b/>
                <w:bCs/>
              </w:rPr>
              <w:t xml:space="preserve">: </w:t>
            </w:r>
            <w:r>
              <w:rPr>
                <w:rFonts w:cs="Arial"/>
                <w:b/>
                <w:bCs/>
              </w:rPr>
              <w:br/>
            </w:r>
            <w:r w:rsidRPr="00FD6CEB">
              <w:rPr>
                <w:rFonts w:cs="Arial"/>
                <w:i/>
                <w:iCs/>
              </w:rPr>
              <w:t>Die Schülerinnen und Schüler</w:t>
            </w:r>
            <w:r>
              <w:rPr>
                <w:rFonts w:cs="Arial"/>
                <w:i/>
                <w:iCs/>
              </w:rPr>
              <w:t xml:space="preserve"> </w:t>
            </w:r>
            <w:r w:rsidRPr="00FD6CEB">
              <w:rPr>
                <w:rFonts w:cs="Arial"/>
                <w:i/>
                <w:iCs/>
              </w:rPr>
              <w:t>…</w:t>
            </w:r>
          </w:p>
        </w:tc>
        <w:tc>
          <w:tcPr>
            <w:tcW w:w="193" w:type="pct"/>
            <w:tcBorders>
              <w:top w:val="single" w:sz="4" w:space="0" w:color="auto"/>
            </w:tcBorders>
            <w:shd w:val="clear" w:color="auto" w:fill="AEAAAA" w:themeFill="background2" w:themeFillShade="BF"/>
            <w:vAlign w:val="center"/>
          </w:tcPr>
          <w:p w:rsidR="00C24D3B" w:rsidRPr="00C24D3B" w:rsidRDefault="00C24D3B" w:rsidP="00B5512F">
            <w:pPr>
              <w:rPr>
                <w:rFonts w:cs="Arial"/>
                <w:b/>
                <w:bCs/>
              </w:rPr>
            </w:pPr>
          </w:p>
        </w:tc>
        <w:tc>
          <w:tcPr>
            <w:tcW w:w="1401" w:type="pct"/>
            <w:tcBorders>
              <w:top w:val="single" w:sz="4" w:space="0" w:color="auto"/>
            </w:tcBorders>
            <w:shd w:val="clear" w:color="auto" w:fill="AEAAAA" w:themeFill="background2" w:themeFillShade="BF"/>
            <w:vAlign w:val="center"/>
          </w:tcPr>
          <w:p w:rsidR="00C24D3B" w:rsidRPr="00FD6CEB" w:rsidRDefault="00C24D3B" w:rsidP="00B5512F">
            <w:pPr>
              <w:rPr>
                <w:rFonts w:cs="Arial"/>
                <w:b/>
                <w:bCs/>
              </w:rPr>
            </w:pPr>
            <w:r w:rsidRPr="00C24D3B">
              <w:rPr>
                <w:rFonts w:cs="Arial"/>
                <w:b/>
                <w:bCs/>
              </w:rPr>
              <w:t>Inhalte zu den Kompetenzen (IK)</w:t>
            </w:r>
          </w:p>
        </w:tc>
        <w:tc>
          <w:tcPr>
            <w:tcW w:w="1862" w:type="pct"/>
            <w:tcBorders>
              <w:top w:val="single" w:sz="4" w:space="0" w:color="auto"/>
            </w:tcBorders>
            <w:shd w:val="clear" w:color="auto" w:fill="AEAAAA" w:themeFill="background2" w:themeFillShade="BF"/>
            <w:vAlign w:val="center"/>
          </w:tcPr>
          <w:p w:rsidR="00C24D3B" w:rsidRPr="00FD6CEB" w:rsidRDefault="00B5512F" w:rsidP="00B5512F">
            <w:pPr>
              <w:rPr>
                <w:rFonts w:cs="Arial"/>
                <w:b/>
                <w:bCs/>
              </w:rPr>
            </w:pPr>
            <w:r w:rsidRPr="00A6633E">
              <w:rPr>
                <w:rFonts w:cs="Arial"/>
                <w:b/>
                <w:bCs/>
              </w:rPr>
              <w:t>Umsetzung im Schulbuch</w:t>
            </w:r>
          </w:p>
        </w:tc>
      </w:tr>
      <w:tr w:rsidR="006B7826" w:rsidRPr="00FD6CEB" w:rsidTr="00417700">
        <w:trPr>
          <w:trHeight w:val="533"/>
        </w:trPr>
        <w:tc>
          <w:tcPr>
            <w:tcW w:w="218" w:type="pct"/>
            <w:vMerge w:val="restart"/>
            <w:shd w:val="clear" w:color="auto" w:fill="E7E6E6" w:themeFill="background2"/>
          </w:tcPr>
          <w:p w:rsidR="006B7826" w:rsidRPr="00FD6CEB" w:rsidRDefault="006B7826" w:rsidP="002437DB">
            <w:pPr>
              <w:rPr>
                <w:rFonts w:cs="Arial"/>
                <w:b/>
                <w:bCs/>
              </w:rPr>
            </w:pPr>
            <w:r w:rsidRPr="00FD6CEB">
              <w:rPr>
                <w:rFonts w:cs="Arial"/>
                <w:b/>
                <w:bCs/>
              </w:rPr>
              <w:t>KE 1</w:t>
            </w:r>
          </w:p>
        </w:tc>
        <w:tc>
          <w:tcPr>
            <w:tcW w:w="1326" w:type="pct"/>
            <w:vMerge w:val="restart"/>
          </w:tcPr>
          <w:p w:rsidR="006B7826" w:rsidRPr="0041541A" w:rsidRDefault="006B7826" w:rsidP="002437DB">
            <w:r w:rsidRPr="002C2889">
              <w:t>reflektieren den Begriff der Mündigkeit vor dem Hintergrund ihrer eigenen Lebenssituation</w:t>
            </w:r>
            <w:r>
              <w:t>.</w:t>
            </w:r>
          </w:p>
        </w:tc>
        <w:tc>
          <w:tcPr>
            <w:tcW w:w="193" w:type="pct"/>
            <w:shd w:val="clear" w:color="auto" w:fill="E7E6E6" w:themeFill="background2"/>
          </w:tcPr>
          <w:p w:rsidR="006B7826" w:rsidRPr="00CD234D" w:rsidRDefault="006B7826" w:rsidP="002437DB">
            <w:pPr>
              <w:rPr>
                <w:rFonts w:cs="Arial"/>
                <w:b/>
                <w:bCs/>
              </w:rPr>
            </w:pPr>
            <w:r>
              <w:rPr>
                <w:rFonts w:cs="Arial"/>
                <w:b/>
                <w:bCs/>
              </w:rPr>
              <w:t>IK 1</w:t>
            </w:r>
          </w:p>
        </w:tc>
        <w:tc>
          <w:tcPr>
            <w:tcW w:w="1401" w:type="pct"/>
          </w:tcPr>
          <w:p w:rsidR="006B7826" w:rsidRPr="0041541A" w:rsidRDefault="006B7826" w:rsidP="002437DB">
            <w:pPr>
              <w:spacing w:line="240" w:lineRule="auto"/>
            </w:pPr>
            <w:r w:rsidRPr="002C2889">
              <w:t>Begriff der Mündigkeit: I. Kants Diktum sowie eigene Vorstellungen und Erwartungen an Mündigkeit, Chancen und Grenzen eigenen Handelns</w:t>
            </w:r>
          </w:p>
        </w:tc>
        <w:tc>
          <w:tcPr>
            <w:tcW w:w="1862" w:type="pct"/>
            <w:vMerge w:val="restart"/>
            <w:shd w:val="clear" w:color="auto" w:fill="E7E6E6" w:themeFill="background2"/>
          </w:tcPr>
          <w:p w:rsidR="006B7826" w:rsidRPr="0041541A" w:rsidRDefault="006B7826" w:rsidP="006B7826">
            <w:r w:rsidRPr="0041541A">
              <w:t>S. 8/9: Begriff der Mündigkeit</w:t>
            </w:r>
            <w:r w:rsidR="005469CA" w:rsidRPr="0041541A">
              <w:t xml:space="preserve"> allgemein und bei Kant</w:t>
            </w:r>
            <w:r w:rsidR="00141ACE" w:rsidRPr="0041541A">
              <w:t>, eigene Vorstellungen und Erwartungen</w:t>
            </w:r>
          </w:p>
          <w:p w:rsidR="006B7826" w:rsidRPr="0041541A" w:rsidRDefault="006B7826" w:rsidP="002437DB">
            <w:r w:rsidRPr="0041541A">
              <w:t>S. 10/11: eigene Vorstellungen und Erwartungen an Mündigkeit; Mündigkeit in Bezug auf die eigene Lebenssituation</w:t>
            </w:r>
            <w:r w:rsidR="00141ACE" w:rsidRPr="0041541A">
              <w:t>, Chancen und Grenzen eigenen Handelns</w:t>
            </w:r>
          </w:p>
        </w:tc>
      </w:tr>
      <w:tr w:rsidR="006B7826" w:rsidRPr="00FD6CEB" w:rsidTr="00417700">
        <w:trPr>
          <w:trHeight w:val="532"/>
        </w:trPr>
        <w:tc>
          <w:tcPr>
            <w:tcW w:w="218" w:type="pct"/>
            <w:vMerge/>
            <w:shd w:val="clear" w:color="auto" w:fill="E7E6E6" w:themeFill="background2"/>
          </w:tcPr>
          <w:p w:rsidR="006B7826" w:rsidRPr="00FD6CEB" w:rsidRDefault="006B7826" w:rsidP="002437DB">
            <w:pPr>
              <w:rPr>
                <w:rFonts w:cs="Arial"/>
                <w:b/>
                <w:bCs/>
              </w:rPr>
            </w:pPr>
          </w:p>
        </w:tc>
        <w:tc>
          <w:tcPr>
            <w:tcW w:w="1326" w:type="pct"/>
            <w:vMerge/>
          </w:tcPr>
          <w:p w:rsidR="006B7826" w:rsidRPr="002C2889" w:rsidRDefault="006B7826" w:rsidP="002437DB"/>
        </w:tc>
        <w:tc>
          <w:tcPr>
            <w:tcW w:w="193" w:type="pct"/>
            <w:shd w:val="clear" w:color="auto" w:fill="E7E6E6" w:themeFill="background2"/>
          </w:tcPr>
          <w:p w:rsidR="006B7826" w:rsidRDefault="006B7826" w:rsidP="002437DB">
            <w:pPr>
              <w:rPr>
                <w:rFonts w:cs="Arial"/>
                <w:b/>
                <w:bCs/>
              </w:rPr>
            </w:pPr>
            <w:r>
              <w:rPr>
                <w:rFonts w:cs="Arial"/>
                <w:b/>
                <w:bCs/>
              </w:rPr>
              <w:t>IK 2</w:t>
            </w:r>
          </w:p>
        </w:tc>
        <w:tc>
          <w:tcPr>
            <w:tcW w:w="1401" w:type="pct"/>
          </w:tcPr>
          <w:p w:rsidR="006B7826" w:rsidRPr="002C2889" w:rsidRDefault="006B7826" w:rsidP="002437DB">
            <w:pPr>
              <w:spacing w:line="240" w:lineRule="auto"/>
            </w:pPr>
            <w:r>
              <w:t xml:space="preserve">Aspekte der Lebenssituation wie Bedeutung von Volljährigkeit, Fragen eigener Positionierung angesichts eines </w:t>
            </w:r>
            <w:proofErr w:type="spellStart"/>
            <w:r>
              <w:t>pluralen</w:t>
            </w:r>
            <w:proofErr w:type="spellEnd"/>
            <w:r>
              <w:t xml:space="preserve"> Angebots von Lebensentwürfen</w:t>
            </w:r>
          </w:p>
        </w:tc>
        <w:tc>
          <w:tcPr>
            <w:tcW w:w="1862" w:type="pct"/>
            <w:vMerge/>
            <w:shd w:val="clear" w:color="auto" w:fill="E7E6E6" w:themeFill="background2"/>
          </w:tcPr>
          <w:p w:rsidR="006B7826" w:rsidRPr="0041541A" w:rsidRDefault="006B7826" w:rsidP="002437DB"/>
        </w:tc>
      </w:tr>
      <w:tr w:rsidR="00B5512F" w:rsidRPr="00FD6CEB" w:rsidTr="00523515">
        <w:trPr>
          <w:trHeight w:val="926"/>
        </w:trPr>
        <w:tc>
          <w:tcPr>
            <w:tcW w:w="218" w:type="pct"/>
            <w:vMerge w:val="restart"/>
            <w:shd w:val="clear" w:color="auto" w:fill="E7E6E6" w:themeFill="background2"/>
          </w:tcPr>
          <w:p w:rsidR="00B5512F" w:rsidRPr="00FD6CEB" w:rsidRDefault="00B5512F" w:rsidP="002437DB">
            <w:pPr>
              <w:rPr>
                <w:rFonts w:cs="Arial"/>
                <w:b/>
                <w:bCs/>
              </w:rPr>
            </w:pPr>
            <w:r w:rsidRPr="00FD6CEB">
              <w:rPr>
                <w:rFonts w:cs="Arial"/>
                <w:b/>
                <w:bCs/>
              </w:rPr>
              <w:t>KE 2</w:t>
            </w:r>
          </w:p>
        </w:tc>
        <w:tc>
          <w:tcPr>
            <w:tcW w:w="1326" w:type="pct"/>
            <w:tcBorders>
              <w:bottom w:val="nil"/>
            </w:tcBorders>
          </w:tcPr>
          <w:p w:rsidR="00B5512F" w:rsidRPr="001C5BBA" w:rsidRDefault="002C2889" w:rsidP="002437DB">
            <w:r w:rsidRPr="002C2889">
              <w:t xml:space="preserve">leiten aus Grundgedanken der Aufklärung Herausforderungen für den christlichen Glauben ab </w:t>
            </w:r>
          </w:p>
        </w:tc>
        <w:tc>
          <w:tcPr>
            <w:tcW w:w="193" w:type="pct"/>
            <w:shd w:val="clear" w:color="auto" w:fill="E7E6E6" w:themeFill="background2"/>
          </w:tcPr>
          <w:p w:rsidR="00B5512F" w:rsidRPr="00CD234D" w:rsidRDefault="002C2889" w:rsidP="002437DB">
            <w:pPr>
              <w:rPr>
                <w:rFonts w:cs="Arial"/>
                <w:b/>
                <w:bCs/>
              </w:rPr>
            </w:pPr>
            <w:r>
              <w:rPr>
                <w:rFonts w:cs="Arial"/>
                <w:b/>
                <w:bCs/>
              </w:rPr>
              <w:t>IK 3</w:t>
            </w:r>
          </w:p>
        </w:tc>
        <w:tc>
          <w:tcPr>
            <w:tcW w:w="1401" w:type="pct"/>
          </w:tcPr>
          <w:p w:rsidR="00B5512F" w:rsidRPr="00F246EB" w:rsidRDefault="002C2889" w:rsidP="0041541A">
            <w:pPr>
              <w:spacing w:line="240" w:lineRule="auto"/>
            </w:pPr>
            <w:r w:rsidRPr="002C2889">
              <w:t>Zeitalter der Aufklärung: Vorrangstellung von Vernunft und Empirie, Fortschrittsoptimismus und positives Menschenbild, kritische Prüfung überkommener Autoritäten, Denkmuster und Glaubensüberzeugungen</w:t>
            </w:r>
          </w:p>
        </w:tc>
        <w:tc>
          <w:tcPr>
            <w:tcW w:w="1862" w:type="pct"/>
            <w:shd w:val="clear" w:color="auto" w:fill="E7E6E6" w:themeFill="background2"/>
          </w:tcPr>
          <w:p w:rsidR="006B7826" w:rsidRPr="0041541A" w:rsidRDefault="006B7826" w:rsidP="002437DB">
            <w:r w:rsidRPr="0041541A">
              <w:t xml:space="preserve">S. 8/9: Begriff </w:t>
            </w:r>
            <w:r w:rsidR="0044038B" w:rsidRPr="0041541A">
              <w:t xml:space="preserve">und Ziele </w:t>
            </w:r>
            <w:r w:rsidRPr="0041541A">
              <w:t>der Aufklärung</w:t>
            </w:r>
          </w:p>
          <w:p w:rsidR="00141ACE" w:rsidRPr="0041541A" w:rsidRDefault="00141ACE" w:rsidP="002437DB">
            <w:r w:rsidRPr="0041541A">
              <w:t>S. 10/11: Erziehungsoptimismus, positives Menschenbild</w:t>
            </w:r>
          </w:p>
          <w:p w:rsidR="00B5512F" w:rsidRPr="0041541A" w:rsidRDefault="00812B0B" w:rsidP="002437DB">
            <w:r w:rsidRPr="0041541A">
              <w:t>S. 12/13:</w:t>
            </w:r>
            <w:r w:rsidR="0044038B" w:rsidRPr="0041541A">
              <w:t xml:space="preserve"> Wege der Erkenntnis (Vernunft u. Empirie)</w:t>
            </w:r>
          </w:p>
          <w:p w:rsidR="00812B0B" w:rsidRPr="0041541A" w:rsidRDefault="00812B0B" w:rsidP="002437DB">
            <w:r w:rsidRPr="0041541A">
              <w:t>S. 14/15:</w:t>
            </w:r>
            <w:r w:rsidR="0044038B" w:rsidRPr="0041541A">
              <w:t xml:space="preserve"> </w:t>
            </w:r>
            <w:r w:rsidR="00141ACE" w:rsidRPr="0041541A">
              <w:t>Fortschrittsoptimismus u. positives Menschenbild</w:t>
            </w:r>
            <w:r w:rsidR="0044038B" w:rsidRPr="0041541A">
              <w:t>; Infragestellung u. Herausforderung für christl. Glauben bei Voltaire (M5)</w:t>
            </w:r>
          </w:p>
          <w:p w:rsidR="00812B0B" w:rsidRPr="0041541A" w:rsidRDefault="00812B0B" w:rsidP="002437DB">
            <w:r w:rsidRPr="0041541A">
              <w:t xml:space="preserve">S. 16/17: </w:t>
            </w:r>
            <w:r w:rsidR="00AC5A99" w:rsidRPr="0041541A">
              <w:t>Herausforderung für christl. Glauben: Kritik am Wahrheitsanspruch der Bibel u. des Christentums</w:t>
            </w:r>
          </w:p>
          <w:p w:rsidR="00812B0B" w:rsidRPr="0041541A" w:rsidRDefault="00812B0B" w:rsidP="002437DB">
            <w:r w:rsidRPr="0041541A">
              <w:t xml:space="preserve">S. </w:t>
            </w:r>
            <w:r w:rsidR="006B7826" w:rsidRPr="0041541A">
              <w:t>18/19:</w:t>
            </w:r>
            <w:r w:rsidR="00AC5A99" w:rsidRPr="0041541A">
              <w:t xml:space="preserve"> Herausforderung für christl. Glauben: Infragestellung der Autorität christlicher Religion</w:t>
            </w:r>
          </w:p>
        </w:tc>
      </w:tr>
      <w:tr w:rsidR="00B5512F" w:rsidRPr="00FD6CEB" w:rsidTr="00523515">
        <w:trPr>
          <w:trHeight w:val="925"/>
        </w:trPr>
        <w:tc>
          <w:tcPr>
            <w:tcW w:w="218" w:type="pct"/>
            <w:vMerge/>
            <w:shd w:val="clear" w:color="auto" w:fill="E7E6E6" w:themeFill="background2"/>
          </w:tcPr>
          <w:p w:rsidR="00B5512F" w:rsidRPr="00FD6CEB" w:rsidRDefault="00B5512F" w:rsidP="002437DB">
            <w:pPr>
              <w:rPr>
                <w:rFonts w:cs="Arial"/>
                <w:b/>
                <w:bCs/>
              </w:rPr>
            </w:pPr>
          </w:p>
        </w:tc>
        <w:tc>
          <w:tcPr>
            <w:tcW w:w="1326" w:type="pct"/>
            <w:tcBorders>
              <w:top w:val="nil"/>
            </w:tcBorders>
          </w:tcPr>
          <w:p w:rsidR="00B5512F" w:rsidRPr="001C5BBA" w:rsidRDefault="00523515" w:rsidP="002437DB">
            <w:r w:rsidRPr="002C2889">
              <w:t>und untersuchen an Beispielen, inwiefern diese Herausforderungen von der zeitgenössischen Theologie aufgenommen wurden</w:t>
            </w:r>
            <w:r>
              <w:t>.</w:t>
            </w:r>
          </w:p>
        </w:tc>
        <w:tc>
          <w:tcPr>
            <w:tcW w:w="193" w:type="pct"/>
            <w:shd w:val="clear" w:color="auto" w:fill="E7E6E6" w:themeFill="background2"/>
          </w:tcPr>
          <w:p w:rsidR="00B5512F" w:rsidRPr="00CD234D" w:rsidRDefault="002C2889" w:rsidP="002437DB">
            <w:pPr>
              <w:rPr>
                <w:rFonts w:cs="Arial"/>
                <w:b/>
                <w:bCs/>
              </w:rPr>
            </w:pPr>
            <w:r>
              <w:rPr>
                <w:rFonts w:cs="Arial"/>
                <w:b/>
                <w:bCs/>
              </w:rPr>
              <w:t>IK 4</w:t>
            </w:r>
          </w:p>
        </w:tc>
        <w:tc>
          <w:tcPr>
            <w:tcW w:w="1401" w:type="pct"/>
          </w:tcPr>
          <w:p w:rsidR="00B5512F" w:rsidRPr="00F246EB" w:rsidRDefault="002C2889" w:rsidP="0041541A">
            <w:pPr>
              <w:spacing w:line="240" w:lineRule="auto"/>
            </w:pPr>
            <w:r w:rsidRPr="002C2889">
              <w:t xml:space="preserve">Versuche, diese Herausforderungen theologisch aufzunehmen, z. B. Deismus, </w:t>
            </w:r>
            <w:proofErr w:type="spellStart"/>
            <w:r w:rsidRPr="002C2889">
              <w:t>Ethisierung</w:t>
            </w:r>
            <w:proofErr w:type="spellEnd"/>
            <w:r w:rsidRPr="002C2889">
              <w:t xml:space="preserve"> von Religion, rationalistische Bibelauslegung, Pietismus</w:t>
            </w:r>
          </w:p>
        </w:tc>
        <w:tc>
          <w:tcPr>
            <w:tcW w:w="1862" w:type="pct"/>
            <w:shd w:val="clear" w:color="auto" w:fill="E7E6E6" w:themeFill="background2"/>
          </w:tcPr>
          <w:p w:rsidR="00B5512F" w:rsidRPr="0041541A" w:rsidRDefault="00812B0B" w:rsidP="002437DB">
            <w:r w:rsidRPr="0041541A">
              <w:t>S. 20/21: Aufnahme der Herausforderungen im Pietismus</w:t>
            </w:r>
          </w:p>
          <w:p w:rsidR="00812B0B" w:rsidRPr="0041541A" w:rsidRDefault="00812B0B" w:rsidP="002437DB">
            <w:r w:rsidRPr="0041541A">
              <w:t>S. 22/23: Aufnahme der Herausforderungen im Deismus</w:t>
            </w:r>
          </w:p>
        </w:tc>
      </w:tr>
      <w:tr w:rsidR="00B5512F" w:rsidRPr="00FD6CEB" w:rsidTr="002437DB">
        <w:tc>
          <w:tcPr>
            <w:tcW w:w="218" w:type="pct"/>
            <w:shd w:val="clear" w:color="auto" w:fill="E7E6E6" w:themeFill="background2"/>
          </w:tcPr>
          <w:p w:rsidR="00B5512F" w:rsidRPr="00FD6CEB" w:rsidRDefault="00B5512F" w:rsidP="002437DB">
            <w:pPr>
              <w:rPr>
                <w:rFonts w:cs="Arial"/>
                <w:b/>
                <w:bCs/>
              </w:rPr>
            </w:pPr>
            <w:r w:rsidRPr="00FD6CEB">
              <w:rPr>
                <w:rFonts w:cs="Arial"/>
                <w:b/>
                <w:bCs/>
              </w:rPr>
              <w:t>KE 3</w:t>
            </w:r>
          </w:p>
        </w:tc>
        <w:tc>
          <w:tcPr>
            <w:tcW w:w="1326" w:type="pct"/>
          </w:tcPr>
          <w:p w:rsidR="00B5512F" w:rsidRPr="001C5BBA" w:rsidRDefault="002C2889" w:rsidP="002437DB">
            <w:r w:rsidRPr="002C2889">
              <w:t>setzen sich auf der Grundlage verschiedener Ansätze aus Philosophie, Literatur, Film oder bildender Kunst kritisch mit dem Vernunftbegriff auseinander und stellen Bezüge zu eigenen Erfahrungen her</w:t>
            </w:r>
            <w:r>
              <w:t>.</w:t>
            </w:r>
          </w:p>
        </w:tc>
        <w:tc>
          <w:tcPr>
            <w:tcW w:w="193" w:type="pct"/>
            <w:shd w:val="clear" w:color="auto" w:fill="E7E6E6" w:themeFill="background2"/>
          </w:tcPr>
          <w:p w:rsidR="00B5512F" w:rsidRPr="00CD234D" w:rsidRDefault="002C2889" w:rsidP="002437DB">
            <w:pPr>
              <w:rPr>
                <w:rFonts w:cs="Arial"/>
                <w:b/>
                <w:bCs/>
              </w:rPr>
            </w:pPr>
            <w:r>
              <w:rPr>
                <w:rFonts w:cs="Arial"/>
                <w:b/>
                <w:bCs/>
              </w:rPr>
              <w:t>IK 5</w:t>
            </w:r>
          </w:p>
        </w:tc>
        <w:tc>
          <w:tcPr>
            <w:tcW w:w="1401" w:type="pct"/>
          </w:tcPr>
          <w:p w:rsidR="00B5512F" w:rsidRPr="00F246EB" w:rsidRDefault="002C2889" w:rsidP="0041541A">
            <w:pPr>
              <w:spacing w:line="240" w:lineRule="auto"/>
            </w:pPr>
            <w:r w:rsidRPr="002C2889">
              <w:t xml:space="preserve">Ansätze z. B. aus der Romantik, Moderne, Postmoderne, in denen Kritik an der </w:t>
            </w:r>
            <w:proofErr w:type="spellStart"/>
            <w:r w:rsidRPr="002C2889">
              <w:t>Absolutsetzung</w:t>
            </w:r>
            <w:proofErr w:type="spellEnd"/>
            <w:r w:rsidRPr="002C2889">
              <w:t xml:space="preserve"> von Vernunft und am Fortschrittsoptimismus deutlich wird</w:t>
            </w:r>
          </w:p>
        </w:tc>
        <w:tc>
          <w:tcPr>
            <w:tcW w:w="1862" w:type="pct"/>
            <w:shd w:val="clear" w:color="auto" w:fill="E7E6E6" w:themeFill="background2"/>
          </w:tcPr>
          <w:p w:rsidR="005469CA" w:rsidRPr="0041541A" w:rsidRDefault="005469CA" w:rsidP="002437DB">
            <w:r w:rsidRPr="0041541A">
              <w:t>S. 6/7: Kunst; eigene Erfahrungen</w:t>
            </w:r>
          </w:p>
          <w:p w:rsidR="005469CA" w:rsidRPr="0041541A" w:rsidRDefault="005469CA" w:rsidP="002437DB">
            <w:r w:rsidRPr="0041541A">
              <w:t>S. 8/9: Philosophie (M3/M4)</w:t>
            </w:r>
          </w:p>
          <w:p w:rsidR="005469CA" w:rsidRPr="0041541A" w:rsidRDefault="005469CA" w:rsidP="002437DB">
            <w:r w:rsidRPr="0041541A">
              <w:t>S. 12/13: Kunst (M1), Musik (M2)</w:t>
            </w:r>
          </w:p>
          <w:p w:rsidR="00B5512F" w:rsidRPr="0041541A" w:rsidRDefault="00523515" w:rsidP="002437DB">
            <w:r w:rsidRPr="0041541A">
              <w:t>S. 24/25: Romantik</w:t>
            </w:r>
          </w:p>
          <w:p w:rsidR="00523515" w:rsidRPr="0041541A" w:rsidRDefault="00523515" w:rsidP="002437DB">
            <w:r w:rsidRPr="0041541A">
              <w:t>S. 26/27: Postmoderne</w:t>
            </w:r>
          </w:p>
        </w:tc>
      </w:tr>
      <w:tr w:rsidR="00B5512F" w:rsidRPr="00FD6CEB" w:rsidTr="002437DB">
        <w:tc>
          <w:tcPr>
            <w:tcW w:w="218" w:type="pct"/>
            <w:shd w:val="clear" w:color="auto" w:fill="E7E6E6" w:themeFill="background2"/>
          </w:tcPr>
          <w:p w:rsidR="00B5512F" w:rsidRPr="00FD6CEB" w:rsidRDefault="00B5512F" w:rsidP="002437DB">
            <w:pPr>
              <w:rPr>
                <w:rFonts w:cs="Arial"/>
                <w:b/>
                <w:bCs/>
              </w:rPr>
            </w:pPr>
            <w:r w:rsidRPr="00FD6CEB">
              <w:rPr>
                <w:rFonts w:cs="Arial"/>
                <w:b/>
                <w:bCs/>
              </w:rPr>
              <w:t>KE 4</w:t>
            </w:r>
          </w:p>
        </w:tc>
        <w:tc>
          <w:tcPr>
            <w:tcW w:w="1326" w:type="pct"/>
          </w:tcPr>
          <w:p w:rsidR="00B5512F" w:rsidRPr="001C5BBA" w:rsidRDefault="002C2889" w:rsidP="002437DB">
            <w:r w:rsidRPr="002C2889">
              <w:t>erschließen einen theologischen Entwurf, der Glaube und Vernunft konstruktiv aufeinander bezieht.</w:t>
            </w:r>
          </w:p>
        </w:tc>
        <w:tc>
          <w:tcPr>
            <w:tcW w:w="193" w:type="pct"/>
            <w:shd w:val="clear" w:color="auto" w:fill="E7E6E6" w:themeFill="background2"/>
          </w:tcPr>
          <w:p w:rsidR="00B5512F" w:rsidRPr="00CD234D" w:rsidRDefault="002C2889" w:rsidP="002437DB">
            <w:pPr>
              <w:rPr>
                <w:rFonts w:cs="Arial"/>
                <w:b/>
                <w:bCs/>
              </w:rPr>
            </w:pPr>
            <w:r>
              <w:rPr>
                <w:rFonts w:cs="Arial"/>
                <w:b/>
                <w:bCs/>
              </w:rPr>
              <w:t>IK 6</w:t>
            </w:r>
          </w:p>
        </w:tc>
        <w:tc>
          <w:tcPr>
            <w:tcW w:w="1401" w:type="pct"/>
          </w:tcPr>
          <w:p w:rsidR="00B5512F" w:rsidRPr="00F246EB" w:rsidRDefault="0041541A" w:rsidP="0041541A">
            <w:r>
              <w:t>ein theologischer Entwurf, z. </w:t>
            </w:r>
            <w:r w:rsidR="002C2889" w:rsidRPr="002C2889">
              <w:t xml:space="preserve">B. von W. Pannenberg, J. Moltmann, U. </w:t>
            </w:r>
            <w:proofErr w:type="spellStart"/>
            <w:r w:rsidR="002C2889" w:rsidRPr="002C2889">
              <w:t>Beuttler</w:t>
            </w:r>
            <w:proofErr w:type="spellEnd"/>
            <w:r w:rsidR="002C2889" w:rsidRPr="002C2889">
              <w:t xml:space="preserve">, I. </w:t>
            </w:r>
            <w:proofErr w:type="spellStart"/>
            <w:r w:rsidR="002C2889" w:rsidRPr="002C2889">
              <w:t>Dalferth</w:t>
            </w:r>
            <w:proofErr w:type="spellEnd"/>
          </w:p>
        </w:tc>
        <w:tc>
          <w:tcPr>
            <w:tcW w:w="1862" w:type="pct"/>
            <w:shd w:val="clear" w:color="auto" w:fill="E7E6E6" w:themeFill="background2"/>
          </w:tcPr>
          <w:p w:rsidR="00B5512F" w:rsidRPr="0041541A" w:rsidRDefault="00AC5A99" w:rsidP="002437DB">
            <w:r w:rsidRPr="0041541A">
              <w:t>S. 28/29: Glaube und Vernunft bei Pannenberg (M4)</w:t>
            </w:r>
          </w:p>
        </w:tc>
      </w:tr>
      <w:tr w:rsidR="00B5512F" w:rsidRPr="00FD6CEB" w:rsidTr="00523515">
        <w:trPr>
          <w:trHeight w:val="660"/>
        </w:trPr>
        <w:tc>
          <w:tcPr>
            <w:tcW w:w="218" w:type="pct"/>
            <w:vMerge w:val="restart"/>
            <w:shd w:val="clear" w:color="auto" w:fill="E7E6E6" w:themeFill="background2"/>
          </w:tcPr>
          <w:p w:rsidR="00B5512F" w:rsidRPr="00FD6CEB" w:rsidRDefault="00B5512F" w:rsidP="002437DB">
            <w:pPr>
              <w:rPr>
                <w:rFonts w:cs="Arial"/>
                <w:b/>
                <w:bCs/>
              </w:rPr>
            </w:pPr>
            <w:r>
              <w:rPr>
                <w:rFonts w:cs="Arial"/>
                <w:b/>
                <w:bCs/>
              </w:rPr>
              <w:lastRenderedPageBreak/>
              <w:t>KE 5</w:t>
            </w:r>
          </w:p>
        </w:tc>
        <w:tc>
          <w:tcPr>
            <w:tcW w:w="1326" w:type="pct"/>
            <w:tcBorders>
              <w:bottom w:val="nil"/>
            </w:tcBorders>
          </w:tcPr>
          <w:p w:rsidR="00B5512F" w:rsidRPr="001C5BBA" w:rsidRDefault="002C2889" w:rsidP="00523515">
            <w:r w:rsidRPr="002C2889">
              <w:t xml:space="preserve">beschreiben unterschiedliche Zuordnungen von Glaube und Naturwissenschaft, entwickeln Kriterien für eine differenzierte Verhältnisbestimmung </w:t>
            </w:r>
          </w:p>
        </w:tc>
        <w:tc>
          <w:tcPr>
            <w:tcW w:w="193" w:type="pct"/>
            <w:shd w:val="clear" w:color="auto" w:fill="E7E6E6" w:themeFill="background2"/>
          </w:tcPr>
          <w:p w:rsidR="00B5512F" w:rsidRPr="00CD234D" w:rsidRDefault="002C2889" w:rsidP="002437DB">
            <w:pPr>
              <w:rPr>
                <w:rFonts w:cs="Arial"/>
                <w:b/>
                <w:bCs/>
              </w:rPr>
            </w:pPr>
            <w:r>
              <w:rPr>
                <w:rFonts w:cs="Arial"/>
                <w:b/>
                <w:bCs/>
              </w:rPr>
              <w:t>IK 7</w:t>
            </w:r>
          </w:p>
        </w:tc>
        <w:tc>
          <w:tcPr>
            <w:tcW w:w="1401" w:type="pct"/>
          </w:tcPr>
          <w:p w:rsidR="00B5512F" w:rsidRPr="00F246EB" w:rsidRDefault="002C2889" w:rsidP="002437DB">
            <w:r w:rsidRPr="002C2889">
              <w:t>Zuordnungen von Glauben und nat</w:t>
            </w:r>
            <w:r w:rsidR="0041541A">
              <w:t>urwissenschaftlichem Denken, z. </w:t>
            </w:r>
            <w:r w:rsidRPr="002C2889">
              <w:t>B. Konkurrenz, Dialog, Integration, Unabhängigkeit; dazu Kriterien wie Weltzugänge, Fragestellungen, unterschiedliche Sprachräume</w:t>
            </w:r>
          </w:p>
        </w:tc>
        <w:tc>
          <w:tcPr>
            <w:tcW w:w="1862" w:type="pct"/>
            <w:shd w:val="clear" w:color="auto" w:fill="E7E6E6" w:themeFill="background2"/>
          </w:tcPr>
          <w:p w:rsidR="005469CA" w:rsidRPr="0041541A" w:rsidRDefault="005469CA" w:rsidP="002437DB">
            <w:r w:rsidRPr="0041541A">
              <w:t>S. 28/29: Zuordnungen von Glauben und Wissen, Naturwissenschaft und Religion</w:t>
            </w:r>
          </w:p>
          <w:p w:rsidR="00B5512F" w:rsidRPr="0041541A" w:rsidRDefault="00523515" w:rsidP="002437DB">
            <w:r w:rsidRPr="0041541A">
              <w:t xml:space="preserve">S. 30/31: </w:t>
            </w:r>
            <w:r w:rsidR="00AC5A99" w:rsidRPr="0041541A">
              <w:t>Zuordnungen von Glaube und Naturwissenschaft, Kriterien</w:t>
            </w:r>
          </w:p>
        </w:tc>
      </w:tr>
      <w:tr w:rsidR="00B5512F" w:rsidRPr="00FD6CEB" w:rsidTr="00523515">
        <w:trPr>
          <w:trHeight w:val="660"/>
        </w:trPr>
        <w:tc>
          <w:tcPr>
            <w:tcW w:w="218" w:type="pct"/>
            <w:vMerge/>
            <w:shd w:val="clear" w:color="auto" w:fill="E7E6E6" w:themeFill="background2"/>
          </w:tcPr>
          <w:p w:rsidR="00B5512F" w:rsidRDefault="00B5512F" w:rsidP="002437DB">
            <w:pPr>
              <w:rPr>
                <w:rFonts w:cs="Arial"/>
                <w:b/>
                <w:bCs/>
              </w:rPr>
            </w:pPr>
          </w:p>
        </w:tc>
        <w:tc>
          <w:tcPr>
            <w:tcW w:w="1326" w:type="pct"/>
            <w:tcBorders>
              <w:top w:val="nil"/>
            </w:tcBorders>
          </w:tcPr>
          <w:p w:rsidR="00B5512F" w:rsidRPr="001C5BBA" w:rsidRDefault="00523515" w:rsidP="002437DB">
            <w:r w:rsidRPr="002C2889">
              <w:t>und machen diese in der Auseinandersetzung mit Pauschalisierungen im öffentlichen Diskurs geltend.</w:t>
            </w:r>
          </w:p>
        </w:tc>
        <w:tc>
          <w:tcPr>
            <w:tcW w:w="193" w:type="pct"/>
            <w:shd w:val="clear" w:color="auto" w:fill="E7E6E6" w:themeFill="background2"/>
          </w:tcPr>
          <w:p w:rsidR="00B5512F" w:rsidRDefault="002C2889" w:rsidP="002437DB">
            <w:pPr>
              <w:rPr>
                <w:rFonts w:cs="Arial"/>
                <w:b/>
                <w:bCs/>
              </w:rPr>
            </w:pPr>
            <w:r>
              <w:rPr>
                <w:rFonts w:cs="Arial"/>
                <w:b/>
                <w:bCs/>
              </w:rPr>
              <w:t>IK 8</w:t>
            </w:r>
          </w:p>
        </w:tc>
        <w:tc>
          <w:tcPr>
            <w:tcW w:w="1401" w:type="pct"/>
          </w:tcPr>
          <w:p w:rsidR="00B5512F" w:rsidRPr="00F246EB" w:rsidRDefault="002C2889" w:rsidP="002437DB">
            <w:r>
              <w:t xml:space="preserve">ein Beispiel für Pauschalisierungen und </w:t>
            </w:r>
            <w:proofErr w:type="spellStart"/>
            <w:r>
              <w:t>Absolutsetzungen</w:t>
            </w:r>
            <w:proofErr w:type="spellEnd"/>
            <w:r>
              <w:t xml:space="preserve"> im Spannungsfeld von Szientismus und Fundamentalismus; damit zusammenhängende Kommunikationsstrategien unter besonderer Berücksichtigung digitaler Kontexte</w:t>
            </w:r>
          </w:p>
        </w:tc>
        <w:tc>
          <w:tcPr>
            <w:tcW w:w="1862" w:type="pct"/>
            <w:shd w:val="clear" w:color="auto" w:fill="E7E6E6" w:themeFill="background2"/>
          </w:tcPr>
          <w:p w:rsidR="00B5512F" w:rsidRPr="0041541A" w:rsidRDefault="00523515" w:rsidP="005469CA">
            <w:r w:rsidRPr="0041541A">
              <w:t xml:space="preserve">S. 32/33: </w:t>
            </w:r>
            <w:r w:rsidR="005469CA" w:rsidRPr="0041541A">
              <w:t xml:space="preserve">Auseinandersetzung mit </w:t>
            </w:r>
            <w:r w:rsidRPr="0041541A">
              <w:t xml:space="preserve">Pauschalisierungen und </w:t>
            </w:r>
            <w:proofErr w:type="spellStart"/>
            <w:r w:rsidRPr="0041541A">
              <w:t>Absolutsetzungen</w:t>
            </w:r>
            <w:proofErr w:type="spellEnd"/>
            <w:r w:rsidRPr="0041541A">
              <w:t xml:space="preserve"> in Kreationismus und Szientismus</w:t>
            </w:r>
            <w:r w:rsidR="00141ACE" w:rsidRPr="0041541A">
              <w:t>; Kommunikationsstrategien</w:t>
            </w:r>
          </w:p>
        </w:tc>
      </w:tr>
    </w:tbl>
    <w:p w:rsidR="00F155AD" w:rsidRDefault="00F155AD">
      <w:pPr>
        <w:spacing w:line="240" w:lineRule="auto"/>
        <w:rPr>
          <w:rFonts w:cs="Arial"/>
        </w:rPr>
      </w:pPr>
    </w:p>
    <w:p w:rsidR="00F155AD" w:rsidRDefault="00F155AD">
      <w:pPr>
        <w:spacing w:line="240" w:lineRule="auto"/>
        <w:rPr>
          <w:rFonts w:cs="Arial"/>
        </w:rPr>
      </w:pPr>
      <w:r>
        <w:rPr>
          <w:rFonts w:cs="Arial"/>
        </w:rPr>
        <w:br w:type="page"/>
      </w:r>
    </w:p>
    <w:tbl>
      <w:tblPr>
        <w:tblStyle w:val="Tabellenraster"/>
        <w:tblW w:w="5000" w:type="pct"/>
        <w:tblLook w:val="04A0" w:firstRow="1" w:lastRow="0" w:firstColumn="1" w:lastColumn="0" w:noHBand="0" w:noVBand="1"/>
      </w:tblPr>
      <w:tblGrid>
        <w:gridCol w:w="661"/>
        <w:gridCol w:w="4010"/>
        <w:gridCol w:w="584"/>
        <w:gridCol w:w="4238"/>
        <w:gridCol w:w="5633"/>
      </w:tblGrid>
      <w:tr w:rsidR="00F155AD" w:rsidRPr="00CD234D" w:rsidTr="00B5512F">
        <w:tc>
          <w:tcPr>
            <w:tcW w:w="5000" w:type="pct"/>
            <w:gridSpan w:val="5"/>
            <w:tcBorders>
              <w:top w:val="single" w:sz="4" w:space="0" w:color="auto"/>
              <w:left w:val="single" w:sz="4" w:space="0" w:color="auto"/>
              <w:bottom w:val="single" w:sz="4" w:space="0" w:color="auto"/>
              <w:right w:val="single" w:sz="4" w:space="0" w:color="auto"/>
            </w:tcBorders>
            <w:shd w:val="clear" w:color="auto" w:fill="C00000"/>
            <w:vAlign w:val="center"/>
          </w:tcPr>
          <w:p w:rsidR="00F155AD" w:rsidRPr="00CD234D" w:rsidRDefault="00F155AD" w:rsidP="00790DFA">
            <w:pPr>
              <w:spacing w:before="120" w:after="120"/>
              <w:rPr>
                <w:rFonts w:cs="Arial"/>
                <w:b/>
                <w:bCs/>
              </w:rPr>
            </w:pPr>
            <w:r w:rsidRPr="00C24D3B">
              <w:rPr>
                <w:b/>
              </w:rPr>
              <w:lastRenderedPageBreak/>
              <w:t>ER1</w:t>
            </w:r>
            <w:r>
              <w:rPr>
                <w:b/>
              </w:rPr>
              <w:t>1</w:t>
            </w:r>
            <w:r w:rsidRPr="00C24D3B">
              <w:rPr>
                <w:b/>
              </w:rPr>
              <w:t xml:space="preserve"> Lernbereich </w:t>
            </w:r>
            <w:r>
              <w:rPr>
                <w:b/>
              </w:rPr>
              <w:t>2</w:t>
            </w:r>
            <w:r w:rsidRPr="00C24D3B">
              <w:rPr>
                <w:b/>
              </w:rPr>
              <w:t xml:space="preserve">: </w:t>
            </w:r>
            <w:r>
              <w:rPr>
                <w:b/>
              </w:rPr>
              <w:t>Freiheit leben</w:t>
            </w:r>
            <w:r w:rsidRPr="00C24D3B">
              <w:rPr>
                <w:b/>
              </w:rPr>
              <w:t xml:space="preserve"> (ca. 1</w:t>
            </w:r>
            <w:r>
              <w:rPr>
                <w:b/>
              </w:rPr>
              <w:t>4</w:t>
            </w:r>
            <w:r w:rsidRPr="00C24D3B">
              <w:rPr>
                <w:b/>
              </w:rPr>
              <w:t xml:space="preserve"> Std.)</w:t>
            </w:r>
          </w:p>
        </w:tc>
      </w:tr>
      <w:tr w:rsidR="00F155AD" w:rsidRPr="00FD6CEB" w:rsidTr="002437DB">
        <w:tc>
          <w:tcPr>
            <w:tcW w:w="218" w:type="pct"/>
            <w:tcBorders>
              <w:top w:val="single" w:sz="4" w:space="0" w:color="auto"/>
            </w:tcBorders>
            <w:shd w:val="clear" w:color="auto" w:fill="AEAAAA" w:themeFill="background2" w:themeFillShade="BF"/>
            <w:vAlign w:val="center"/>
          </w:tcPr>
          <w:p w:rsidR="00F155AD" w:rsidRPr="00FD6CEB" w:rsidRDefault="00F155AD" w:rsidP="00B5512F">
            <w:pPr>
              <w:rPr>
                <w:rFonts w:cs="Arial"/>
                <w:b/>
                <w:bCs/>
              </w:rPr>
            </w:pPr>
          </w:p>
        </w:tc>
        <w:tc>
          <w:tcPr>
            <w:tcW w:w="1326" w:type="pct"/>
            <w:tcBorders>
              <w:top w:val="single" w:sz="4" w:space="0" w:color="auto"/>
            </w:tcBorders>
            <w:shd w:val="clear" w:color="auto" w:fill="AEAAAA" w:themeFill="background2" w:themeFillShade="BF"/>
            <w:vAlign w:val="center"/>
          </w:tcPr>
          <w:p w:rsidR="00F155AD" w:rsidRPr="00FD6CEB" w:rsidRDefault="00F155AD" w:rsidP="00B5512F">
            <w:pPr>
              <w:rPr>
                <w:rFonts w:cs="Arial"/>
                <w:b/>
                <w:bCs/>
              </w:rPr>
            </w:pPr>
            <w:r w:rsidRPr="00FD6CEB">
              <w:rPr>
                <w:rFonts w:cs="Arial"/>
                <w:b/>
                <w:bCs/>
              </w:rPr>
              <w:t>Kompetenzerwartungen (KE)</w:t>
            </w:r>
            <w:r>
              <w:rPr>
                <w:rFonts w:cs="Arial"/>
                <w:b/>
                <w:bCs/>
              </w:rPr>
              <w:t xml:space="preserve">: </w:t>
            </w:r>
            <w:r>
              <w:rPr>
                <w:rFonts w:cs="Arial"/>
                <w:b/>
                <w:bCs/>
              </w:rPr>
              <w:br/>
            </w:r>
            <w:r w:rsidRPr="00FD6CEB">
              <w:rPr>
                <w:rFonts w:cs="Arial"/>
                <w:i/>
                <w:iCs/>
              </w:rPr>
              <w:t>Die Schülerinnen und Schüler</w:t>
            </w:r>
            <w:r>
              <w:rPr>
                <w:rFonts w:cs="Arial"/>
                <w:i/>
                <w:iCs/>
              </w:rPr>
              <w:t xml:space="preserve"> </w:t>
            </w:r>
            <w:r w:rsidRPr="00FD6CEB">
              <w:rPr>
                <w:rFonts w:cs="Arial"/>
                <w:i/>
                <w:iCs/>
              </w:rPr>
              <w:t>…</w:t>
            </w:r>
          </w:p>
        </w:tc>
        <w:tc>
          <w:tcPr>
            <w:tcW w:w="193" w:type="pct"/>
            <w:tcBorders>
              <w:top w:val="single" w:sz="4" w:space="0" w:color="auto"/>
            </w:tcBorders>
            <w:shd w:val="clear" w:color="auto" w:fill="AEAAAA" w:themeFill="background2" w:themeFillShade="BF"/>
            <w:vAlign w:val="center"/>
          </w:tcPr>
          <w:p w:rsidR="00F155AD" w:rsidRPr="00C24D3B" w:rsidRDefault="00F155AD" w:rsidP="00B5512F">
            <w:pPr>
              <w:rPr>
                <w:rFonts w:cs="Arial"/>
                <w:b/>
                <w:bCs/>
              </w:rPr>
            </w:pPr>
          </w:p>
        </w:tc>
        <w:tc>
          <w:tcPr>
            <w:tcW w:w="1401" w:type="pct"/>
            <w:tcBorders>
              <w:top w:val="single" w:sz="4" w:space="0" w:color="auto"/>
            </w:tcBorders>
            <w:shd w:val="clear" w:color="auto" w:fill="AEAAAA" w:themeFill="background2" w:themeFillShade="BF"/>
            <w:vAlign w:val="center"/>
          </w:tcPr>
          <w:p w:rsidR="00F155AD" w:rsidRPr="00FD6CEB" w:rsidRDefault="00F155AD" w:rsidP="00B5512F">
            <w:pPr>
              <w:rPr>
                <w:rFonts w:cs="Arial"/>
                <w:b/>
                <w:bCs/>
              </w:rPr>
            </w:pPr>
            <w:r w:rsidRPr="00C24D3B">
              <w:rPr>
                <w:rFonts w:cs="Arial"/>
                <w:b/>
                <w:bCs/>
              </w:rPr>
              <w:t>Inhalte zu den Kompetenzen (IK)</w:t>
            </w:r>
          </w:p>
        </w:tc>
        <w:tc>
          <w:tcPr>
            <w:tcW w:w="1862" w:type="pct"/>
            <w:tcBorders>
              <w:top w:val="single" w:sz="4" w:space="0" w:color="auto"/>
            </w:tcBorders>
            <w:shd w:val="clear" w:color="auto" w:fill="AEAAAA" w:themeFill="background2" w:themeFillShade="BF"/>
            <w:vAlign w:val="center"/>
          </w:tcPr>
          <w:p w:rsidR="00F155AD" w:rsidRPr="00FD6CEB" w:rsidRDefault="00F155AD" w:rsidP="00B5512F">
            <w:pPr>
              <w:rPr>
                <w:rFonts w:cs="Arial"/>
                <w:b/>
                <w:bCs/>
              </w:rPr>
            </w:pPr>
            <w:r w:rsidRPr="00A6633E">
              <w:rPr>
                <w:rFonts w:cs="Arial"/>
                <w:b/>
                <w:bCs/>
              </w:rPr>
              <w:t>Umsetzung im Schulbuch</w:t>
            </w:r>
          </w:p>
        </w:tc>
      </w:tr>
      <w:tr w:rsidR="00F155AD" w:rsidRPr="00FD6CEB" w:rsidTr="00417700">
        <w:trPr>
          <w:trHeight w:val="533"/>
        </w:trPr>
        <w:tc>
          <w:tcPr>
            <w:tcW w:w="218" w:type="pct"/>
            <w:vMerge w:val="restart"/>
            <w:shd w:val="clear" w:color="auto" w:fill="E7E6E6" w:themeFill="background2"/>
          </w:tcPr>
          <w:p w:rsidR="00F155AD" w:rsidRPr="00FD6CEB" w:rsidRDefault="00F155AD" w:rsidP="002437DB">
            <w:pPr>
              <w:rPr>
                <w:rFonts w:cs="Arial"/>
                <w:b/>
                <w:bCs/>
              </w:rPr>
            </w:pPr>
            <w:r w:rsidRPr="00FD6CEB">
              <w:rPr>
                <w:rFonts w:cs="Arial"/>
                <w:b/>
                <w:bCs/>
              </w:rPr>
              <w:t>KE 1</w:t>
            </w:r>
          </w:p>
        </w:tc>
        <w:tc>
          <w:tcPr>
            <w:tcW w:w="1326" w:type="pct"/>
            <w:vMerge w:val="restart"/>
          </w:tcPr>
          <w:p w:rsidR="00F155AD" w:rsidRPr="0050726F" w:rsidRDefault="00F155AD" w:rsidP="002437DB">
            <w:r w:rsidRPr="00790DFA">
              <w:t>nehmen Zusammenhänge von Freiheit und Bedingtheit in persönlichen und gesellschaftlichen Lebensvollzügen wahr und erschließen den Begriff der Freiheit vor dem Hintergrund unterschiedlicher Deutungsansätze.</w:t>
            </w:r>
          </w:p>
        </w:tc>
        <w:tc>
          <w:tcPr>
            <w:tcW w:w="193" w:type="pct"/>
            <w:shd w:val="clear" w:color="auto" w:fill="E7E6E6" w:themeFill="background2"/>
          </w:tcPr>
          <w:p w:rsidR="00F155AD" w:rsidRPr="00CD234D" w:rsidRDefault="00F155AD" w:rsidP="002437DB">
            <w:pPr>
              <w:rPr>
                <w:rFonts w:cs="Arial"/>
                <w:b/>
                <w:bCs/>
              </w:rPr>
            </w:pPr>
            <w:r>
              <w:rPr>
                <w:rFonts w:cs="Arial"/>
                <w:b/>
                <w:bCs/>
              </w:rPr>
              <w:t>IK 1</w:t>
            </w:r>
          </w:p>
        </w:tc>
        <w:tc>
          <w:tcPr>
            <w:tcW w:w="1401" w:type="pct"/>
          </w:tcPr>
          <w:p w:rsidR="00F155AD" w:rsidRPr="00790DFA" w:rsidRDefault="00F155AD" w:rsidP="00790DFA">
            <w:r w:rsidRPr="00790DFA">
              <w:t>Zusammenhänge von Freiheit und Bedingtheit im eigenen Erfahrungsbereich, wie z. B. Unterschied zwischen Wollen und Handeln, Selbst- und Fremdbestimmung, individuelle Fähigkeiten und Beschränkungen</w:t>
            </w:r>
          </w:p>
        </w:tc>
        <w:tc>
          <w:tcPr>
            <w:tcW w:w="1862" w:type="pct"/>
            <w:shd w:val="clear" w:color="auto" w:fill="E7E6E6" w:themeFill="background2"/>
          </w:tcPr>
          <w:p w:rsidR="00F155AD" w:rsidRPr="0050726F" w:rsidRDefault="00F155AD" w:rsidP="002437DB">
            <w:r w:rsidRPr="0050726F">
              <w:t>S. 38/39: Freiheitsbegriff</w:t>
            </w:r>
            <w:r>
              <w:t>,</w:t>
            </w:r>
            <w:r w:rsidRPr="0050726F">
              <w:t xml:space="preserve"> Handlungs- und Willensfreiheit im eigenen Erfahrungsbereich u. im Horizont von Selbst- und Fremdbestimmung sowie individueller Fähigkeiten und Beschränkungen</w:t>
            </w:r>
          </w:p>
          <w:p w:rsidR="00F155AD" w:rsidRPr="0050726F" w:rsidRDefault="00F155AD" w:rsidP="004E0EE2">
            <w:r w:rsidRPr="0050726F">
              <w:t>S. 44/45: Erschließung von Freiheit und Bedingtheit in persönlichen Lebensvollzügen: Internet, Selbstbild</w:t>
            </w:r>
          </w:p>
        </w:tc>
      </w:tr>
      <w:tr w:rsidR="00F155AD" w:rsidRPr="00FD6CEB" w:rsidTr="00790DFA">
        <w:trPr>
          <w:trHeight w:val="888"/>
        </w:trPr>
        <w:tc>
          <w:tcPr>
            <w:tcW w:w="218" w:type="pct"/>
            <w:vMerge/>
            <w:shd w:val="clear" w:color="auto" w:fill="E7E6E6" w:themeFill="background2"/>
          </w:tcPr>
          <w:p w:rsidR="00F155AD" w:rsidRPr="00FD6CEB" w:rsidRDefault="00F155AD" w:rsidP="002437DB">
            <w:pPr>
              <w:rPr>
                <w:rFonts w:cs="Arial"/>
                <w:b/>
                <w:bCs/>
              </w:rPr>
            </w:pPr>
          </w:p>
        </w:tc>
        <w:tc>
          <w:tcPr>
            <w:tcW w:w="1326" w:type="pct"/>
            <w:vMerge/>
          </w:tcPr>
          <w:p w:rsidR="00F155AD" w:rsidRPr="002C2889" w:rsidRDefault="00F155AD" w:rsidP="002437DB"/>
        </w:tc>
        <w:tc>
          <w:tcPr>
            <w:tcW w:w="193" w:type="pct"/>
            <w:shd w:val="clear" w:color="auto" w:fill="E7E6E6" w:themeFill="background2"/>
          </w:tcPr>
          <w:p w:rsidR="00F155AD" w:rsidRDefault="00F155AD" w:rsidP="002437DB">
            <w:pPr>
              <w:rPr>
                <w:rFonts w:cs="Arial"/>
                <w:b/>
                <w:bCs/>
              </w:rPr>
            </w:pPr>
            <w:r>
              <w:rPr>
                <w:rFonts w:cs="Arial"/>
                <w:b/>
                <w:bCs/>
              </w:rPr>
              <w:t>IK 2</w:t>
            </w:r>
          </w:p>
        </w:tc>
        <w:tc>
          <w:tcPr>
            <w:tcW w:w="1401" w:type="pct"/>
          </w:tcPr>
          <w:p w:rsidR="00F155AD" w:rsidRPr="002C2889" w:rsidRDefault="00F155AD" w:rsidP="00790DFA">
            <w:r w:rsidRPr="00790DFA">
              <w:t>Dimensionen von Freiheit wie Handlungsfreiheit, Gedankenfreiheit, Willensfreiheit, Entscheidungsfreiheit, Meinungsfreiheit, innere und äußere Freiheit; dazu die Unterscheidung von negativer und positiver Freiheit als Differenzierungshilfe</w:t>
            </w:r>
          </w:p>
        </w:tc>
        <w:tc>
          <w:tcPr>
            <w:tcW w:w="1862" w:type="pct"/>
            <w:shd w:val="clear" w:color="auto" w:fill="E7E6E6" w:themeFill="background2"/>
          </w:tcPr>
          <w:p w:rsidR="00F155AD" w:rsidRPr="0050726F" w:rsidRDefault="00F155AD" w:rsidP="00744243">
            <w:r w:rsidRPr="0050726F">
              <w:t>S. 38/39: Freiheitsbegriff u. seine Dimensionen, Handlungs- und Willensfreiheit</w:t>
            </w:r>
          </w:p>
          <w:p w:rsidR="00F155AD" w:rsidRPr="0050726F" w:rsidRDefault="00F155AD" w:rsidP="00744243">
            <w:r w:rsidRPr="0050726F">
              <w:t>S. 40/41: Dimensionen von Freiheit, innere und äußere, positive und negative Freiheit</w:t>
            </w:r>
          </w:p>
          <w:p w:rsidR="00F155AD" w:rsidRPr="0050726F" w:rsidRDefault="00F155AD" w:rsidP="00744243">
            <w:r w:rsidRPr="0050726F">
              <w:t>S. 58/59: Glaubens-, Gewissens-, Religionsfreiheit</w:t>
            </w:r>
          </w:p>
          <w:p w:rsidR="00F155AD" w:rsidRPr="0050726F" w:rsidRDefault="00F155AD" w:rsidP="002437DB">
            <w:r w:rsidRPr="0050726F">
              <w:t>S. 60/61: Demonstrations- und Versammlungsfreiheit</w:t>
            </w:r>
          </w:p>
        </w:tc>
      </w:tr>
      <w:tr w:rsidR="00F155AD" w:rsidRPr="00FD6CEB" w:rsidTr="00417700">
        <w:trPr>
          <w:trHeight w:val="887"/>
        </w:trPr>
        <w:tc>
          <w:tcPr>
            <w:tcW w:w="218" w:type="pct"/>
            <w:vMerge/>
            <w:shd w:val="clear" w:color="auto" w:fill="E7E6E6" w:themeFill="background2"/>
          </w:tcPr>
          <w:p w:rsidR="00F155AD" w:rsidRPr="00FD6CEB" w:rsidRDefault="00F155AD" w:rsidP="002437DB">
            <w:pPr>
              <w:rPr>
                <w:rFonts w:cs="Arial"/>
                <w:b/>
                <w:bCs/>
              </w:rPr>
            </w:pPr>
          </w:p>
        </w:tc>
        <w:tc>
          <w:tcPr>
            <w:tcW w:w="1326" w:type="pct"/>
            <w:vMerge/>
          </w:tcPr>
          <w:p w:rsidR="00F155AD" w:rsidRPr="002C2889" w:rsidRDefault="00F155AD" w:rsidP="002437DB"/>
        </w:tc>
        <w:tc>
          <w:tcPr>
            <w:tcW w:w="193" w:type="pct"/>
            <w:shd w:val="clear" w:color="auto" w:fill="E7E6E6" w:themeFill="background2"/>
          </w:tcPr>
          <w:p w:rsidR="00F155AD" w:rsidRDefault="00F155AD" w:rsidP="002437DB">
            <w:pPr>
              <w:rPr>
                <w:rFonts w:cs="Arial"/>
                <w:b/>
                <w:bCs/>
              </w:rPr>
            </w:pPr>
            <w:r>
              <w:rPr>
                <w:rFonts w:cs="Arial"/>
                <w:b/>
                <w:bCs/>
              </w:rPr>
              <w:t>IK 3</w:t>
            </w:r>
          </w:p>
        </w:tc>
        <w:tc>
          <w:tcPr>
            <w:tcW w:w="1401" w:type="pct"/>
          </w:tcPr>
          <w:p w:rsidR="00F155AD" w:rsidRPr="00790DFA" w:rsidRDefault="00F155AD" w:rsidP="00790DFA">
            <w:r w:rsidRPr="00790DFA">
              <w:t xml:space="preserve">Deutungsansätze zur Freiheitsthematik aus Philosophie, Literatur bzw. Humanwissenschaften, z. B. J.-J. Rousseau, I. Kant, J. S. Mill, F. Schiller, H. Arendt, P. </w:t>
            </w:r>
            <w:proofErr w:type="spellStart"/>
            <w:r w:rsidRPr="00790DFA">
              <w:t>Bieri</w:t>
            </w:r>
            <w:proofErr w:type="spellEnd"/>
            <w:r w:rsidRPr="00790DFA">
              <w:t>, S. Freud, G. Roth</w:t>
            </w:r>
          </w:p>
        </w:tc>
        <w:tc>
          <w:tcPr>
            <w:tcW w:w="1862" w:type="pct"/>
            <w:shd w:val="clear" w:color="auto" w:fill="E7E6E6" w:themeFill="background2"/>
          </w:tcPr>
          <w:p w:rsidR="00F155AD" w:rsidRPr="0050726F" w:rsidRDefault="00F155AD" w:rsidP="00744243">
            <w:r w:rsidRPr="0050726F">
              <w:t xml:space="preserve">S. 40/41: Deutungsansatz aus Humanwissenschaften (M4: </w:t>
            </w:r>
            <w:proofErr w:type="spellStart"/>
            <w:r w:rsidRPr="0050726F">
              <w:t>Wuketits</w:t>
            </w:r>
            <w:proofErr w:type="spellEnd"/>
            <w:r w:rsidRPr="0050726F">
              <w:t xml:space="preserve">, dazu A6c): Freud, </w:t>
            </w:r>
            <w:proofErr w:type="spellStart"/>
            <w:r w:rsidRPr="0050726F">
              <w:t>Libet</w:t>
            </w:r>
            <w:proofErr w:type="spellEnd"/>
            <w:r w:rsidRPr="0050726F">
              <w:t>, Roth)</w:t>
            </w:r>
          </w:p>
          <w:p w:rsidR="00F155AD" w:rsidRPr="0050726F" w:rsidRDefault="00F155AD" w:rsidP="00744243">
            <w:r w:rsidRPr="0050726F">
              <w:t>S. 42/43: Erschließung des Freiheitsbegriffs in gesellschaftlichen Lebensvollzügen: Deutungsansätze bei Rousseau und Arendt</w:t>
            </w:r>
          </w:p>
          <w:p w:rsidR="00F155AD" w:rsidRPr="0050726F" w:rsidRDefault="00F155AD" w:rsidP="00675E2B">
            <w:r w:rsidRPr="0050726F">
              <w:t xml:space="preserve">S. 60/61: John </w:t>
            </w:r>
            <w:proofErr w:type="spellStart"/>
            <w:r w:rsidRPr="0050726F">
              <w:t>Rawls</w:t>
            </w:r>
            <w:proofErr w:type="spellEnd"/>
            <w:r w:rsidRPr="0050726F">
              <w:t>: Die Freiheit auch der Intoleranten</w:t>
            </w:r>
          </w:p>
        </w:tc>
      </w:tr>
      <w:tr w:rsidR="00F155AD" w:rsidRPr="00FD6CEB" w:rsidTr="00DB701C">
        <w:trPr>
          <w:trHeight w:val="2645"/>
        </w:trPr>
        <w:tc>
          <w:tcPr>
            <w:tcW w:w="218" w:type="pct"/>
            <w:shd w:val="clear" w:color="auto" w:fill="E7E6E6" w:themeFill="background2"/>
          </w:tcPr>
          <w:p w:rsidR="00F155AD" w:rsidRPr="00FD6CEB" w:rsidRDefault="00F155AD" w:rsidP="002437DB">
            <w:pPr>
              <w:rPr>
                <w:rFonts w:cs="Arial"/>
                <w:b/>
                <w:bCs/>
              </w:rPr>
            </w:pPr>
            <w:r w:rsidRPr="00FD6CEB">
              <w:rPr>
                <w:rFonts w:cs="Arial"/>
                <w:b/>
                <w:bCs/>
              </w:rPr>
              <w:t>KE 2</w:t>
            </w:r>
          </w:p>
        </w:tc>
        <w:tc>
          <w:tcPr>
            <w:tcW w:w="1326" w:type="pct"/>
          </w:tcPr>
          <w:p w:rsidR="00F155AD" w:rsidRPr="001C5BBA" w:rsidRDefault="00F155AD" w:rsidP="002437DB">
            <w:r w:rsidRPr="00790DFA">
              <w:t>beschreiben Gefährdungen und Ambivalenzen von Freiheit anhand konkreter Beispiele.</w:t>
            </w:r>
          </w:p>
        </w:tc>
        <w:tc>
          <w:tcPr>
            <w:tcW w:w="193" w:type="pct"/>
            <w:shd w:val="clear" w:color="auto" w:fill="E7E6E6" w:themeFill="background2"/>
          </w:tcPr>
          <w:p w:rsidR="00F155AD" w:rsidRPr="00CD234D" w:rsidRDefault="00F155AD" w:rsidP="002437DB">
            <w:pPr>
              <w:rPr>
                <w:rFonts w:cs="Arial"/>
                <w:b/>
                <w:bCs/>
              </w:rPr>
            </w:pPr>
            <w:r>
              <w:rPr>
                <w:rFonts w:cs="Arial"/>
                <w:b/>
                <w:bCs/>
              </w:rPr>
              <w:t>IK 4</w:t>
            </w:r>
          </w:p>
        </w:tc>
        <w:tc>
          <w:tcPr>
            <w:tcW w:w="1401" w:type="pct"/>
          </w:tcPr>
          <w:p w:rsidR="00F155AD" w:rsidRPr="00F246EB" w:rsidRDefault="00F155AD" w:rsidP="002437DB">
            <w:r w:rsidRPr="00790DFA">
              <w:t>Gefährdungen bzw. Ambivalenzen von Freiheit aus dem persönlichen und dem politischen Bereich, z. B. Verunsicherung durch eine Überfülle von Wahlmöglichkeiten, Missverständnis von Freiheit als Beliebigkeit, Spannungsverhältnis von Freiheit und Sicherheit, Anonymität und Verantwortung beim Agieren in digitalen Kontexten, Umschlagen von Freiheitsbewegungen in Gewalt und Diktatur</w:t>
            </w:r>
          </w:p>
        </w:tc>
        <w:tc>
          <w:tcPr>
            <w:tcW w:w="1862" w:type="pct"/>
            <w:shd w:val="clear" w:color="auto" w:fill="E7E6E6" w:themeFill="background2"/>
          </w:tcPr>
          <w:p w:rsidR="00F155AD" w:rsidRPr="0050726F" w:rsidRDefault="00F155AD" w:rsidP="002437DB">
            <w:r w:rsidRPr="0050726F">
              <w:t>S. 42/43: Gefährdungen/Ambivalenzen von Freiheit: politische Freiheit, Freiheitsdemonstrationen, Konflikt zwischen individueller Freiheit und staatlicher Einflussnahme</w:t>
            </w:r>
          </w:p>
          <w:p w:rsidR="00F155AD" w:rsidRPr="0050726F" w:rsidRDefault="00F155AD" w:rsidP="002437DB">
            <w:r w:rsidRPr="0050726F">
              <w:t>S. 44/45: Gefährdungen/Ambivalenzen von Freiheit in digitalen Kontexten: persönliche Freiheit, Freiheit vs. Diktatur (China), Freiheit vs. Sicherheit/Überwachung</w:t>
            </w:r>
          </w:p>
          <w:p w:rsidR="00F155AD" w:rsidRPr="0050726F" w:rsidRDefault="00F155AD" w:rsidP="002437DB">
            <w:r w:rsidRPr="0050726F">
              <w:t xml:space="preserve">S. 60/61: Ambivalenz von Freiheit nach </w:t>
            </w:r>
            <w:proofErr w:type="spellStart"/>
            <w:r w:rsidRPr="0050726F">
              <w:t>Rawls</w:t>
            </w:r>
            <w:proofErr w:type="spellEnd"/>
            <w:r w:rsidRPr="0050726F">
              <w:t xml:space="preserve"> (M3)</w:t>
            </w:r>
          </w:p>
        </w:tc>
      </w:tr>
      <w:tr w:rsidR="00F155AD" w:rsidRPr="00FD6CEB" w:rsidTr="00790DFA">
        <w:trPr>
          <w:trHeight w:val="737"/>
        </w:trPr>
        <w:tc>
          <w:tcPr>
            <w:tcW w:w="218" w:type="pct"/>
            <w:vMerge w:val="restart"/>
            <w:shd w:val="clear" w:color="auto" w:fill="E7E6E6" w:themeFill="background2"/>
          </w:tcPr>
          <w:p w:rsidR="00F155AD" w:rsidRPr="00FD6CEB" w:rsidRDefault="00F155AD" w:rsidP="002437DB">
            <w:pPr>
              <w:rPr>
                <w:rFonts w:cs="Arial"/>
                <w:b/>
                <w:bCs/>
              </w:rPr>
            </w:pPr>
            <w:r w:rsidRPr="00FD6CEB">
              <w:rPr>
                <w:rFonts w:cs="Arial"/>
                <w:b/>
                <w:bCs/>
              </w:rPr>
              <w:lastRenderedPageBreak/>
              <w:t>KE 3</w:t>
            </w:r>
          </w:p>
        </w:tc>
        <w:tc>
          <w:tcPr>
            <w:tcW w:w="1326" w:type="pct"/>
            <w:vMerge w:val="restart"/>
          </w:tcPr>
          <w:p w:rsidR="00F155AD" w:rsidRPr="001C5BBA" w:rsidRDefault="00F155AD" w:rsidP="002437DB">
            <w:r w:rsidRPr="00790DFA">
              <w:t>identifizieren Freiheitsgedanken in biblischen Texten und reflektieren diese im Zusammenhang von Rechtfertigung und Freiheit nach reformatorischem Verständnis.</w:t>
            </w:r>
          </w:p>
        </w:tc>
        <w:tc>
          <w:tcPr>
            <w:tcW w:w="193" w:type="pct"/>
            <w:shd w:val="clear" w:color="auto" w:fill="E7E6E6" w:themeFill="background2"/>
          </w:tcPr>
          <w:p w:rsidR="00F155AD" w:rsidRPr="00CD234D" w:rsidRDefault="00F155AD" w:rsidP="002437DB">
            <w:pPr>
              <w:rPr>
                <w:rFonts w:cs="Arial"/>
                <w:b/>
                <w:bCs/>
              </w:rPr>
            </w:pPr>
            <w:r>
              <w:rPr>
                <w:rFonts w:cs="Arial"/>
                <w:b/>
                <w:bCs/>
              </w:rPr>
              <w:t>IK 5</w:t>
            </w:r>
          </w:p>
        </w:tc>
        <w:tc>
          <w:tcPr>
            <w:tcW w:w="1401" w:type="pct"/>
          </w:tcPr>
          <w:p w:rsidR="00F155AD" w:rsidRPr="00F246EB" w:rsidRDefault="00F155AD" w:rsidP="002437DB">
            <w:r w:rsidRPr="00790DFA">
              <w:t xml:space="preserve">Freiheitsmotive in der Bibel, z. B. in der </w:t>
            </w:r>
            <w:proofErr w:type="spellStart"/>
            <w:r w:rsidRPr="00790DFA">
              <w:t>Exodustradition</w:t>
            </w:r>
            <w:proofErr w:type="spellEnd"/>
            <w:r w:rsidRPr="00790DFA">
              <w:t>, in Schöpfungstexten, in Leben und Wirken Jesu, bei Paulus (Gal 3)</w:t>
            </w:r>
          </w:p>
        </w:tc>
        <w:tc>
          <w:tcPr>
            <w:tcW w:w="1862" w:type="pct"/>
            <w:shd w:val="clear" w:color="auto" w:fill="E7E6E6" w:themeFill="background2"/>
          </w:tcPr>
          <w:p w:rsidR="00F155AD" w:rsidRPr="0050726F" w:rsidRDefault="00F155AD" w:rsidP="002437DB">
            <w:r w:rsidRPr="0050726F">
              <w:t>S. 46/47: Freiheitsmotive im AT (Exodus, Schöpfungstexte, Dekalog)</w:t>
            </w:r>
          </w:p>
          <w:p w:rsidR="00F155AD" w:rsidRPr="0050726F" w:rsidRDefault="00F155AD" w:rsidP="002437DB">
            <w:r w:rsidRPr="0050726F">
              <w:t xml:space="preserve">S. 48/49: Freiheitsmotive im NT (Paulus, </w:t>
            </w:r>
            <w:proofErr w:type="spellStart"/>
            <w:r w:rsidRPr="0050726F">
              <w:t>Mk</w:t>
            </w:r>
            <w:proofErr w:type="spellEnd"/>
            <w:r w:rsidRPr="0050726F">
              <w:t xml:space="preserve"> 2,23–28)</w:t>
            </w:r>
          </w:p>
        </w:tc>
      </w:tr>
      <w:tr w:rsidR="00F155AD" w:rsidRPr="00FD6CEB" w:rsidTr="002437DB">
        <w:trPr>
          <w:trHeight w:val="736"/>
        </w:trPr>
        <w:tc>
          <w:tcPr>
            <w:tcW w:w="218" w:type="pct"/>
            <w:vMerge/>
            <w:shd w:val="clear" w:color="auto" w:fill="E7E6E6" w:themeFill="background2"/>
          </w:tcPr>
          <w:p w:rsidR="00F155AD" w:rsidRPr="00FD6CEB" w:rsidRDefault="00F155AD" w:rsidP="002437DB">
            <w:pPr>
              <w:rPr>
                <w:rFonts w:cs="Arial"/>
                <w:b/>
                <w:bCs/>
              </w:rPr>
            </w:pPr>
          </w:p>
        </w:tc>
        <w:tc>
          <w:tcPr>
            <w:tcW w:w="1326" w:type="pct"/>
            <w:vMerge/>
          </w:tcPr>
          <w:p w:rsidR="00F155AD" w:rsidRPr="00790DFA" w:rsidRDefault="00F155AD" w:rsidP="002437DB"/>
        </w:tc>
        <w:tc>
          <w:tcPr>
            <w:tcW w:w="193" w:type="pct"/>
            <w:shd w:val="clear" w:color="auto" w:fill="E7E6E6" w:themeFill="background2"/>
          </w:tcPr>
          <w:p w:rsidR="00F155AD" w:rsidRDefault="00F155AD" w:rsidP="002437DB">
            <w:pPr>
              <w:rPr>
                <w:rFonts w:cs="Arial"/>
                <w:b/>
                <w:bCs/>
              </w:rPr>
            </w:pPr>
            <w:r>
              <w:rPr>
                <w:rFonts w:cs="Arial"/>
                <w:b/>
                <w:bCs/>
              </w:rPr>
              <w:t>IK 6</w:t>
            </w:r>
          </w:p>
        </w:tc>
        <w:tc>
          <w:tcPr>
            <w:tcW w:w="1401" w:type="pct"/>
          </w:tcPr>
          <w:p w:rsidR="00F155AD" w:rsidRPr="00790DFA" w:rsidRDefault="00F155AD" w:rsidP="002437DB">
            <w:r w:rsidRPr="00790DFA">
              <w:t>Grundgedanken aus M. Luthers „Freiheit eines Christenmenschen“; dazu ggf. W. Huber (Kommunikative Freiheit)</w:t>
            </w:r>
          </w:p>
        </w:tc>
        <w:tc>
          <w:tcPr>
            <w:tcW w:w="1862" w:type="pct"/>
            <w:shd w:val="clear" w:color="auto" w:fill="E7E6E6" w:themeFill="background2"/>
          </w:tcPr>
          <w:p w:rsidR="00F155AD" w:rsidRPr="0050726F" w:rsidRDefault="00F155AD" w:rsidP="00791517">
            <w:r w:rsidRPr="0050726F">
              <w:t xml:space="preserve">S. 50/51: Rechtfertigung und Freiheit bei Luther (Freiheit eines Christenmenschen, De </w:t>
            </w:r>
            <w:proofErr w:type="spellStart"/>
            <w:r w:rsidRPr="0050726F">
              <w:t>servo</w:t>
            </w:r>
            <w:proofErr w:type="spellEnd"/>
            <w:r w:rsidRPr="0050726F">
              <w:t xml:space="preserve"> </w:t>
            </w:r>
            <w:proofErr w:type="spellStart"/>
            <w:r w:rsidRPr="0050726F">
              <w:t>arbitrio</w:t>
            </w:r>
            <w:proofErr w:type="spellEnd"/>
            <w:r w:rsidRPr="0050726F">
              <w:t>); A5: Reflexion der biblischen Texte aus Luthers Sicht</w:t>
            </w:r>
          </w:p>
          <w:p w:rsidR="00F155AD" w:rsidRPr="0050726F" w:rsidRDefault="00F155AD" w:rsidP="00791517">
            <w:r w:rsidRPr="0050726F">
              <w:t>S. 52/53: Kommunikative Freiheit (W. Huber)</w:t>
            </w:r>
          </w:p>
        </w:tc>
      </w:tr>
      <w:tr w:rsidR="00F155AD" w:rsidRPr="00FD6CEB" w:rsidTr="00791517">
        <w:trPr>
          <w:trHeight w:val="1010"/>
        </w:trPr>
        <w:tc>
          <w:tcPr>
            <w:tcW w:w="218" w:type="pct"/>
            <w:vMerge w:val="restart"/>
            <w:shd w:val="clear" w:color="auto" w:fill="E7E6E6" w:themeFill="background2"/>
          </w:tcPr>
          <w:p w:rsidR="00F155AD" w:rsidRPr="00FD6CEB" w:rsidRDefault="00F155AD" w:rsidP="002437DB">
            <w:pPr>
              <w:rPr>
                <w:rFonts w:cs="Arial"/>
                <w:b/>
                <w:bCs/>
              </w:rPr>
            </w:pPr>
            <w:r w:rsidRPr="00FD6CEB">
              <w:rPr>
                <w:rFonts w:cs="Arial"/>
                <w:b/>
                <w:bCs/>
              </w:rPr>
              <w:t>KE 4</w:t>
            </w:r>
          </w:p>
        </w:tc>
        <w:tc>
          <w:tcPr>
            <w:tcW w:w="1326" w:type="pct"/>
            <w:vMerge w:val="restart"/>
          </w:tcPr>
          <w:p w:rsidR="00F155AD" w:rsidRPr="001C5BBA" w:rsidRDefault="00F155AD" w:rsidP="002437DB">
            <w:r w:rsidRPr="00790DFA">
              <w:t>nehmen Gewissen aus protestantischer Sicht als Ort von Identitäts- und Freiheitserfahrung wahr und entwickeln daraus Perspektiven für eine verantwortliche Lebensgestaltung.</w:t>
            </w:r>
          </w:p>
        </w:tc>
        <w:tc>
          <w:tcPr>
            <w:tcW w:w="193" w:type="pct"/>
            <w:shd w:val="clear" w:color="auto" w:fill="E7E6E6" w:themeFill="background2"/>
          </w:tcPr>
          <w:p w:rsidR="00F155AD" w:rsidRPr="00CD234D" w:rsidRDefault="00F155AD" w:rsidP="002437DB">
            <w:pPr>
              <w:rPr>
                <w:rFonts w:cs="Arial"/>
                <w:b/>
                <w:bCs/>
              </w:rPr>
            </w:pPr>
            <w:r>
              <w:rPr>
                <w:rFonts w:cs="Arial"/>
                <w:b/>
                <w:bCs/>
              </w:rPr>
              <w:t>IK 7</w:t>
            </w:r>
          </w:p>
        </w:tc>
        <w:tc>
          <w:tcPr>
            <w:tcW w:w="1401" w:type="pct"/>
          </w:tcPr>
          <w:p w:rsidR="00F155AD" w:rsidRPr="00F246EB" w:rsidRDefault="00F155AD" w:rsidP="002437DB">
            <w:r w:rsidRPr="00790DFA">
              <w:t>evangelisches Gewissensverständnis, ausgehend von D. Bonhoeffer: Gewissen als Person- und Glaubenszentrum, das durch Christus befreite Gewissen</w:t>
            </w:r>
          </w:p>
        </w:tc>
        <w:tc>
          <w:tcPr>
            <w:tcW w:w="1862" w:type="pct"/>
            <w:shd w:val="clear" w:color="auto" w:fill="E7E6E6" w:themeFill="background2"/>
          </w:tcPr>
          <w:p w:rsidR="00F155AD" w:rsidRPr="0050726F" w:rsidRDefault="00F155AD" w:rsidP="002437DB">
            <w:r w:rsidRPr="0050726F">
              <w:t>S. 54/55: Gewissen nach Bonhoeffer</w:t>
            </w:r>
          </w:p>
          <w:p w:rsidR="00F155AD" w:rsidRPr="0050726F" w:rsidRDefault="00F155AD" w:rsidP="002437DB">
            <w:r w:rsidRPr="0050726F">
              <w:t>S. 56/57: Zusammenhang von Freiheit, Verantwortung und Gehorsam nach Bonhoeffer</w:t>
            </w:r>
          </w:p>
        </w:tc>
      </w:tr>
      <w:tr w:rsidR="00F155AD" w:rsidRPr="00FD6CEB" w:rsidTr="003B69E6">
        <w:trPr>
          <w:trHeight w:val="660"/>
        </w:trPr>
        <w:tc>
          <w:tcPr>
            <w:tcW w:w="218" w:type="pct"/>
            <w:vMerge/>
            <w:shd w:val="clear" w:color="auto" w:fill="E7E6E6" w:themeFill="background2"/>
          </w:tcPr>
          <w:p w:rsidR="00F155AD" w:rsidRDefault="00F155AD" w:rsidP="002437DB">
            <w:pPr>
              <w:rPr>
                <w:rFonts w:cs="Arial"/>
                <w:b/>
                <w:bCs/>
              </w:rPr>
            </w:pPr>
          </w:p>
        </w:tc>
        <w:tc>
          <w:tcPr>
            <w:tcW w:w="1326" w:type="pct"/>
            <w:vMerge/>
          </w:tcPr>
          <w:p w:rsidR="00F155AD" w:rsidRPr="001C5BBA" w:rsidRDefault="00F155AD" w:rsidP="002437DB"/>
        </w:tc>
        <w:tc>
          <w:tcPr>
            <w:tcW w:w="193" w:type="pct"/>
            <w:shd w:val="clear" w:color="auto" w:fill="E7E6E6" w:themeFill="background2"/>
          </w:tcPr>
          <w:p w:rsidR="00F155AD" w:rsidRDefault="00F155AD" w:rsidP="0050726F">
            <w:pPr>
              <w:rPr>
                <w:rFonts w:cs="Arial"/>
                <w:b/>
                <w:bCs/>
              </w:rPr>
            </w:pPr>
            <w:r>
              <w:rPr>
                <w:rFonts w:cs="Arial"/>
                <w:b/>
                <w:bCs/>
              </w:rPr>
              <w:t>IK 8</w:t>
            </w:r>
          </w:p>
        </w:tc>
        <w:tc>
          <w:tcPr>
            <w:tcW w:w="1401" w:type="pct"/>
          </w:tcPr>
          <w:p w:rsidR="00F155AD" w:rsidRPr="00F246EB" w:rsidRDefault="00F155AD" w:rsidP="002437DB">
            <w:r w:rsidRPr="00790DFA">
              <w:t>Perspektiven für die verantwortliche Lebensgestaltung wie Freiheit als Voraussetzung für Übernahme von Verantwortung, Freiheit vom Zwang, richtig handeln zu müssen, Orientierung am Anderen, Vertrauen auf Vergebung, Versöhnung bzw. Erlösung</w:t>
            </w:r>
          </w:p>
        </w:tc>
        <w:tc>
          <w:tcPr>
            <w:tcW w:w="1862" w:type="pct"/>
            <w:shd w:val="clear" w:color="auto" w:fill="E7E6E6" w:themeFill="background2"/>
          </w:tcPr>
          <w:p w:rsidR="00F155AD" w:rsidRPr="0050726F" w:rsidRDefault="00F155AD" w:rsidP="005469CA">
            <w:r w:rsidRPr="0050726F">
              <w:t>S. 54/55: Übernahme von Verantwortung am Beispiel Bonhoeffers: Schuldig werden für andere / Tyrannenmord</w:t>
            </w:r>
          </w:p>
          <w:p w:rsidR="00F155AD" w:rsidRPr="0050726F" w:rsidRDefault="00F155AD" w:rsidP="005469CA">
            <w:r w:rsidRPr="0050726F">
              <w:t xml:space="preserve">S. 56/57: Perspektiven für die verantwortliche Lebensgestaltung in Bezug auf den Lebensalltag und am Beispiel von </w:t>
            </w:r>
            <w:proofErr w:type="spellStart"/>
            <w:r w:rsidRPr="0050726F">
              <w:t>Influencern</w:t>
            </w:r>
            <w:proofErr w:type="spellEnd"/>
            <w:r w:rsidRPr="0050726F">
              <w:t xml:space="preserve"> und Idolen</w:t>
            </w:r>
          </w:p>
          <w:p w:rsidR="00F155AD" w:rsidRPr="0050726F" w:rsidRDefault="00F155AD" w:rsidP="005469CA">
            <w:r w:rsidRPr="0050726F">
              <w:t>S. 58/59: Perspektiven für eine verantwortliche Lebensgestaltung am Beispiel Kirchenasyl</w:t>
            </w:r>
          </w:p>
          <w:p w:rsidR="00F155AD" w:rsidRPr="0050726F" w:rsidRDefault="00F155AD" w:rsidP="00713BD7">
            <w:r w:rsidRPr="0050726F">
              <w:t>S. 60/61: Perspektiven für eine verantwortliche Lebensgestaltung am Beispiel politische Beteiligung und Demonstrationen</w:t>
            </w:r>
          </w:p>
        </w:tc>
      </w:tr>
    </w:tbl>
    <w:p w:rsidR="00F155AD" w:rsidRDefault="00F155AD">
      <w:pPr>
        <w:spacing w:line="240" w:lineRule="auto"/>
        <w:rPr>
          <w:rFonts w:cs="Arial"/>
        </w:rPr>
      </w:pPr>
    </w:p>
    <w:p w:rsidR="00F155AD" w:rsidRDefault="00F155AD">
      <w:pPr>
        <w:spacing w:line="240" w:lineRule="auto"/>
        <w:rPr>
          <w:rFonts w:cs="Arial"/>
        </w:rPr>
      </w:pPr>
      <w:r>
        <w:rPr>
          <w:rFonts w:cs="Arial"/>
        </w:rPr>
        <w:br w:type="page"/>
      </w:r>
    </w:p>
    <w:tbl>
      <w:tblPr>
        <w:tblStyle w:val="Tabellenraster"/>
        <w:tblW w:w="5000" w:type="pct"/>
        <w:tblLook w:val="04A0" w:firstRow="1" w:lastRow="0" w:firstColumn="1" w:lastColumn="0" w:noHBand="0" w:noVBand="1"/>
      </w:tblPr>
      <w:tblGrid>
        <w:gridCol w:w="661"/>
        <w:gridCol w:w="4010"/>
        <w:gridCol w:w="584"/>
        <w:gridCol w:w="4238"/>
        <w:gridCol w:w="5633"/>
      </w:tblGrid>
      <w:tr w:rsidR="00F155AD" w:rsidRPr="00CD234D" w:rsidTr="00B5512F">
        <w:tc>
          <w:tcPr>
            <w:tcW w:w="5000" w:type="pct"/>
            <w:gridSpan w:val="5"/>
            <w:tcBorders>
              <w:top w:val="single" w:sz="4" w:space="0" w:color="auto"/>
              <w:left w:val="single" w:sz="4" w:space="0" w:color="auto"/>
              <w:bottom w:val="single" w:sz="4" w:space="0" w:color="auto"/>
              <w:right w:val="single" w:sz="4" w:space="0" w:color="auto"/>
            </w:tcBorders>
            <w:shd w:val="clear" w:color="auto" w:fill="C00000"/>
            <w:vAlign w:val="center"/>
          </w:tcPr>
          <w:p w:rsidR="00F155AD" w:rsidRPr="00CD234D" w:rsidRDefault="00F155AD" w:rsidP="000720DD">
            <w:pPr>
              <w:spacing w:before="120" w:after="120"/>
              <w:rPr>
                <w:rFonts w:cs="Arial"/>
                <w:b/>
                <w:bCs/>
              </w:rPr>
            </w:pPr>
            <w:r w:rsidRPr="00C24D3B">
              <w:rPr>
                <w:b/>
              </w:rPr>
              <w:lastRenderedPageBreak/>
              <w:t>ER1</w:t>
            </w:r>
            <w:r>
              <w:rPr>
                <w:b/>
              </w:rPr>
              <w:t>1</w:t>
            </w:r>
            <w:r w:rsidRPr="00C24D3B">
              <w:rPr>
                <w:b/>
              </w:rPr>
              <w:t xml:space="preserve"> Lernbereich </w:t>
            </w:r>
            <w:r>
              <w:rPr>
                <w:b/>
              </w:rPr>
              <w:t>3</w:t>
            </w:r>
            <w:r w:rsidRPr="00C24D3B">
              <w:rPr>
                <w:b/>
              </w:rPr>
              <w:t xml:space="preserve">: </w:t>
            </w:r>
            <w:proofErr w:type="spellStart"/>
            <w:r>
              <w:rPr>
                <w:b/>
              </w:rPr>
              <w:t>Sola</w:t>
            </w:r>
            <w:proofErr w:type="spellEnd"/>
            <w:r>
              <w:rPr>
                <w:b/>
              </w:rPr>
              <w:t xml:space="preserve"> </w:t>
            </w:r>
            <w:proofErr w:type="spellStart"/>
            <w:r>
              <w:rPr>
                <w:b/>
              </w:rPr>
              <w:t>scriptura</w:t>
            </w:r>
            <w:proofErr w:type="spellEnd"/>
            <w:r>
              <w:rPr>
                <w:b/>
              </w:rPr>
              <w:t>!? – Zugänge zur Bibel</w:t>
            </w:r>
            <w:r w:rsidRPr="00C24D3B">
              <w:rPr>
                <w:b/>
              </w:rPr>
              <w:t xml:space="preserve"> (ca. 1</w:t>
            </w:r>
            <w:r>
              <w:rPr>
                <w:b/>
              </w:rPr>
              <w:t>4</w:t>
            </w:r>
            <w:r w:rsidRPr="00C24D3B">
              <w:rPr>
                <w:b/>
              </w:rPr>
              <w:t xml:space="preserve"> Std.)</w:t>
            </w:r>
          </w:p>
        </w:tc>
      </w:tr>
      <w:tr w:rsidR="00F155AD" w:rsidRPr="00FD6CEB" w:rsidTr="002437DB">
        <w:tc>
          <w:tcPr>
            <w:tcW w:w="218" w:type="pct"/>
            <w:tcBorders>
              <w:top w:val="single" w:sz="4" w:space="0" w:color="auto"/>
            </w:tcBorders>
            <w:shd w:val="clear" w:color="auto" w:fill="AEAAAA" w:themeFill="background2" w:themeFillShade="BF"/>
            <w:vAlign w:val="center"/>
          </w:tcPr>
          <w:p w:rsidR="00F155AD" w:rsidRPr="00FD6CEB" w:rsidRDefault="00F155AD" w:rsidP="00B5512F">
            <w:pPr>
              <w:rPr>
                <w:rFonts w:cs="Arial"/>
                <w:b/>
                <w:bCs/>
              </w:rPr>
            </w:pPr>
          </w:p>
        </w:tc>
        <w:tc>
          <w:tcPr>
            <w:tcW w:w="1326" w:type="pct"/>
            <w:tcBorders>
              <w:top w:val="single" w:sz="4" w:space="0" w:color="auto"/>
            </w:tcBorders>
            <w:shd w:val="clear" w:color="auto" w:fill="AEAAAA" w:themeFill="background2" w:themeFillShade="BF"/>
            <w:vAlign w:val="center"/>
          </w:tcPr>
          <w:p w:rsidR="00F155AD" w:rsidRPr="00FD6CEB" w:rsidRDefault="00F155AD" w:rsidP="00B5512F">
            <w:pPr>
              <w:rPr>
                <w:rFonts w:cs="Arial"/>
                <w:b/>
                <w:bCs/>
              </w:rPr>
            </w:pPr>
            <w:r w:rsidRPr="00FD6CEB">
              <w:rPr>
                <w:rFonts w:cs="Arial"/>
                <w:b/>
                <w:bCs/>
              </w:rPr>
              <w:t>Kompetenzerwartungen (KE)</w:t>
            </w:r>
            <w:r>
              <w:rPr>
                <w:rFonts w:cs="Arial"/>
                <w:b/>
                <w:bCs/>
              </w:rPr>
              <w:t xml:space="preserve">: </w:t>
            </w:r>
            <w:r>
              <w:rPr>
                <w:rFonts w:cs="Arial"/>
                <w:b/>
                <w:bCs/>
              </w:rPr>
              <w:br/>
            </w:r>
            <w:r w:rsidRPr="00FD6CEB">
              <w:rPr>
                <w:rFonts w:cs="Arial"/>
                <w:i/>
                <w:iCs/>
              </w:rPr>
              <w:t>Die Schülerinnen und Schüler</w:t>
            </w:r>
            <w:r>
              <w:rPr>
                <w:rFonts w:cs="Arial"/>
                <w:i/>
                <w:iCs/>
              </w:rPr>
              <w:t xml:space="preserve"> </w:t>
            </w:r>
            <w:r w:rsidRPr="00FD6CEB">
              <w:rPr>
                <w:rFonts w:cs="Arial"/>
                <w:i/>
                <w:iCs/>
              </w:rPr>
              <w:t>…</w:t>
            </w:r>
          </w:p>
        </w:tc>
        <w:tc>
          <w:tcPr>
            <w:tcW w:w="193" w:type="pct"/>
            <w:tcBorders>
              <w:top w:val="single" w:sz="4" w:space="0" w:color="auto"/>
            </w:tcBorders>
            <w:shd w:val="clear" w:color="auto" w:fill="AEAAAA" w:themeFill="background2" w:themeFillShade="BF"/>
            <w:vAlign w:val="center"/>
          </w:tcPr>
          <w:p w:rsidR="00F155AD" w:rsidRPr="00C24D3B" w:rsidRDefault="00F155AD" w:rsidP="00B5512F">
            <w:pPr>
              <w:rPr>
                <w:rFonts w:cs="Arial"/>
                <w:b/>
                <w:bCs/>
              </w:rPr>
            </w:pPr>
          </w:p>
        </w:tc>
        <w:tc>
          <w:tcPr>
            <w:tcW w:w="1401" w:type="pct"/>
            <w:tcBorders>
              <w:top w:val="single" w:sz="4" w:space="0" w:color="auto"/>
            </w:tcBorders>
            <w:shd w:val="clear" w:color="auto" w:fill="AEAAAA" w:themeFill="background2" w:themeFillShade="BF"/>
            <w:vAlign w:val="center"/>
          </w:tcPr>
          <w:p w:rsidR="00F155AD" w:rsidRPr="00FD6CEB" w:rsidRDefault="00F155AD" w:rsidP="00B5512F">
            <w:pPr>
              <w:rPr>
                <w:rFonts w:cs="Arial"/>
                <w:b/>
                <w:bCs/>
              </w:rPr>
            </w:pPr>
            <w:r w:rsidRPr="00C24D3B">
              <w:rPr>
                <w:rFonts w:cs="Arial"/>
                <w:b/>
                <w:bCs/>
              </w:rPr>
              <w:t>Inhalte zu den Kompetenzen (IK)</w:t>
            </w:r>
          </w:p>
        </w:tc>
        <w:tc>
          <w:tcPr>
            <w:tcW w:w="1862" w:type="pct"/>
            <w:tcBorders>
              <w:top w:val="single" w:sz="4" w:space="0" w:color="auto"/>
            </w:tcBorders>
            <w:shd w:val="clear" w:color="auto" w:fill="AEAAAA" w:themeFill="background2" w:themeFillShade="BF"/>
            <w:vAlign w:val="center"/>
          </w:tcPr>
          <w:p w:rsidR="00F155AD" w:rsidRPr="00FD6CEB" w:rsidRDefault="00F155AD" w:rsidP="00B5512F">
            <w:pPr>
              <w:rPr>
                <w:rFonts w:cs="Arial"/>
                <w:b/>
                <w:bCs/>
              </w:rPr>
            </w:pPr>
            <w:r w:rsidRPr="00A6633E">
              <w:rPr>
                <w:rFonts w:cs="Arial"/>
                <w:b/>
                <w:bCs/>
              </w:rPr>
              <w:t>Umsetzung im Schulbuch</w:t>
            </w:r>
          </w:p>
        </w:tc>
      </w:tr>
      <w:tr w:rsidR="00F155AD" w:rsidRPr="00FD6CEB" w:rsidTr="001F448F">
        <w:trPr>
          <w:trHeight w:val="1075"/>
        </w:trPr>
        <w:tc>
          <w:tcPr>
            <w:tcW w:w="218" w:type="pct"/>
            <w:shd w:val="clear" w:color="auto" w:fill="E7E6E6" w:themeFill="background2"/>
          </w:tcPr>
          <w:p w:rsidR="00F155AD" w:rsidRPr="00FD6CEB" w:rsidRDefault="00F155AD" w:rsidP="002437DB">
            <w:pPr>
              <w:rPr>
                <w:rFonts w:cs="Arial"/>
                <w:b/>
                <w:bCs/>
              </w:rPr>
            </w:pPr>
            <w:r w:rsidRPr="00FD6CEB">
              <w:rPr>
                <w:rFonts w:cs="Arial"/>
                <w:b/>
                <w:bCs/>
              </w:rPr>
              <w:t>KE 1</w:t>
            </w:r>
          </w:p>
        </w:tc>
        <w:tc>
          <w:tcPr>
            <w:tcW w:w="1326" w:type="pct"/>
          </w:tcPr>
          <w:p w:rsidR="00F155AD" w:rsidRPr="000720DD" w:rsidRDefault="00F155AD" w:rsidP="002437DB">
            <w:r w:rsidRPr="000720DD">
              <w:t>reflektieren eigene Einstellungen zur Bibel und tauschen sich darüber aus.</w:t>
            </w:r>
          </w:p>
        </w:tc>
        <w:tc>
          <w:tcPr>
            <w:tcW w:w="193" w:type="pct"/>
            <w:shd w:val="clear" w:color="auto" w:fill="E7E6E6" w:themeFill="background2"/>
          </w:tcPr>
          <w:p w:rsidR="00F155AD" w:rsidRPr="000720DD" w:rsidRDefault="00F155AD" w:rsidP="002437DB"/>
        </w:tc>
        <w:tc>
          <w:tcPr>
            <w:tcW w:w="1401" w:type="pct"/>
          </w:tcPr>
          <w:p w:rsidR="00F155AD" w:rsidRPr="000720DD" w:rsidRDefault="00F155AD" w:rsidP="00705E02"/>
        </w:tc>
        <w:tc>
          <w:tcPr>
            <w:tcW w:w="1862" w:type="pct"/>
            <w:shd w:val="clear" w:color="auto" w:fill="E7E6E6" w:themeFill="background2"/>
          </w:tcPr>
          <w:p w:rsidR="00F155AD" w:rsidRPr="00705E02" w:rsidRDefault="00F155AD" w:rsidP="002437DB">
            <w:r w:rsidRPr="00705E02">
              <w:t>S. 64/65: Reflektion eigener Erinnerungen, Gefühle, Fragen und Einstellungen zur Bibel, Reaktivierung von Vorwissen</w:t>
            </w:r>
          </w:p>
          <w:p w:rsidR="00F155AD" w:rsidRPr="00705E02" w:rsidRDefault="00F155AD" w:rsidP="002437DB">
            <w:r w:rsidRPr="00705E02">
              <w:t>S. 76/77: Persönliches Angesprochen Sein von biblischen Worten</w:t>
            </w:r>
          </w:p>
        </w:tc>
      </w:tr>
      <w:tr w:rsidR="00F155AD" w:rsidRPr="00FD6CEB" w:rsidTr="00CB4BC9">
        <w:trPr>
          <w:trHeight w:val="926"/>
        </w:trPr>
        <w:tc>
          <w:tcPr>
            <w:tcW w:w="218" w:type="pct"/>
            <w:shd w:val="clear" w:color="auto" w:fill="E7E6E6" w:themeFill="background2"/>
          </w:tcPr>
          <w:p w:rsidR="00F155AD" w:rsidRPr="00FD6CEB" w:rsidRDefault="00F155AD" w:rsidP="000720DD">
            <w:pPr>
              <w:rPr>
                <w:rFonts w:cs="Arial"/>
                <w:b/>
                <w:bCs/>
              </w:rPr>
            </w:pPr>
            <w:r w:rsidRPr="00FD6CEB">
              <w:rPr>
                <w:rFonts w:cs="Arial"/>
                <w:b/>
                <w:bCs/>
              </w:rPr>
              <w:t>KE 2</w:t>
            </w:r>
          </w:p>
        </w:tc>
        <w:tc>
          <w:tcPr>
            <w:tcW w:w="1326" w:type="pct"/>
          </w:tcPr>
          <w:p w:rsidR="00F155AD" w:rsidRPr="001C5BBA" w:rsidRDefault="00F155AD" w:rsidP="000720DD">
            <w:r w:rsidRPr="000720DD">
              <w:t>erschließen eine für die Gesamtheit der Bibel bedeutsame Schrift bzw. Erzähltradition.</w:t>
            </w:r>
          </w:p>
        </w:tc>
        <w:tc>
          <w:tcPr>
            <w:tcW w:w="193" w:type="pct"/>
            <w:shd w:val="clear" w:color="auto" w:fill="E7E6E6" w:themeFill="background2"/>
          </w:tcPr>
          <w:p w:rsidR="00F155AD" w:rsidRPr="00CD234D" w:rsidRDefault="00F155AD" w:rsidP="000720DD">
            <w:pPr>
              <w:rPr>
                <w:rFonts w:cs="Arial"/>
                <w:b/>
                <w:bCs/>
              </w:rPr>
            </w:pPr>
            <w:r>
              <w:rPr>
                <w:rFonts w:cs="Arial"/>
                <w:b/>
                <w:bCs/>
              </w:rPr>
              <w:t>IK 1</w:t>
            </w:r>
          </w:p>
        </w:tc>
        <w:tc>
          <w:tcPr>
            <w:tcW w:w="1401" w:type="pct"/>
          </w:tcPr>
          <w:p w:rsidR="00F155AD" w:rsidRPr="00F246EB" w:rsidRDefault="00F155AD" w:rsidP="000720DD">
            <w:r w:rsidRPr="000720DD">
              <w:t>Aufbau, Inhalt und Deutung einer ausgewählten biblischen Schrift bzw. Erzähltradition in ih</w:t>
            </w:r>
            <w:r>
              <w:t>ren innerbiblischen Bezügen, z. </w:t>
            </w:r>
            <w:r w:rsidRPr="000720DD">
              <w:t>B. Vätergeschichten, Exodus, Hiob, ein Evangelium</w:t>
            </w:r>
          </w:p>
        </w:tc>
        <w:tc>
          <w:tcPr>
            <w:tcW w:w="1862" w:type="pct"/>
            <w:shd w:val="clear" w:color="auto" w:fill="E7E6E6" w:themeFill="background2"/>
          </w:tcPr>
          <w:p w:rsidR="00F155AD" w:rsidRPr="00705E02" w:rsidRDefault="00F155AD" w:rsidP="003B7AB4">
            <w:r w:rsidRPr="00705E02">
              <w:t>S. 68/69: Aufbau/Komposition, Inhalt und Quellen des Matthäusevangeliums, Deutung eines exemplarischen Texts</w:t>
            </w:r>
          </w:p>
        </w:tc>
      </w:tr>
      <w:tr w:rsidR="00F155AD" w:rsidRPr="00FD6CEB" w:rsidTr="002437DB">
        <w:tc>
          <w:tcPr>
            <w:tcW w:w="218" w:type="pct"/>
            <w:shd w:val="clear" w:color="auto" w:fill="E7E6E6" w:themeFill="background2"/>
          </w:tcPr>
          <w:p w:rsidR="00F155AD" w:rsidRPr="000720DD" w:rsidRDefault="00F155AD" w:rsidP="000720DD">
            <w:pPr>
              <w:rPr>
                <w:rFonts w:cs="Arial"/>
                <w:b/>
                <w:bCs/>
              </w:rPr>
            </w:pPr>
            <w:r w:rsidRPr="00FD6CEB">
              <w:rPr>
                <w:rFonts w:cs="Arial"/>
                <w:b/>
                <w:bCs/>
              </w:rPr>
              <w:t>KE 3</w:t>
            </w:r>
          </w:p>
        </w:tc>
        <w:tc>
          <w:tcPr>
            <w:tcW w:w="1326" w:type="pct"/>
          </w:tcPr>
          <w:p w:rsidR="00F155AD" w:rsidRPr="001C5BBA" w:rsidRDefault="00F155AD" w:rsidP="000720DD">
            <w:r w:rsidRPr="000720DD">
              <w:t>erläutern Fragestellungen der historisch-kritischen Exegese und vollziehen deren Methodik in Ansätzen anhand eines Bibeltextes nach.</w:t>
            </w:r>
          </w:p>
        </w:tc>
        <w:tc>
          <w:tcPr>
            <w:tcW w:w="193" w:type="pct"/>
            <w:shd w:val="clear" w:color="auto" w:fill="E7E6E6" w:themeFill="background2"/>
          </w:tcPr>
          <w:p w:rsidR="00F155AD" w:rsidRPr="00CD234D" w:rsidRDefault="00F155AD" w:rsidP="000720DD">
            <w:pPr>
              <w:rPr>
                <w:rFonts w:cs="Arial"/>
                <w:b/>
                <w:bCs/>
              </w:rPr>
            </w:pPr>
            <w:r>
              <w:rPr>
                <w:rFonts w:cs="Arial"/>
                <w:b/>
                <w:bCs/>
              </w:rPr>
              <w:t>IK 2</w:t>
            </w:r>
          </w:p>
        </w:tc>
        <w:tc>
          <w:tcPr>
            <w:tcW w:w="1401" w:type="pct"/>
          </w:tcPr>
          <w:p w:rsidR="00F155AD" w:rsidRPr="00F246EB" w:rsidRDefault="00F155AD" w:rsidP="000720DD">
            <w:r w:rsidRPr="000720DD">
              <w:t>historisch-kritische Auslegung eines exemplarisch gewählten Abschnitts der behandelten biblischen Tradition; Anliegen und Reichweite der historisch-kritischen Exegese</w:t>
            </w:r>
          </w:p>
        </w:tc>
        <w:tc>
          <w:tcPr>
            <w:tcW w:w="1862" w:type="pct"/>
            <w:shd w:val="clear" w:color="auto" w:fill="E7E6E6" w:themeFill="background2"/>
          </w:tcPr>
          <w:p w:rsidR="00F155AD" w:rsidRPr="00705E02" w:rsidRDefault="00F155AD" w:rsidP="00B45249">
            <w:r w:rsidRPr="00705E02">
              <w:t xml:space="preserve">S. 66/67: Historisch-kritische Auslegung: Fragestellungen, Methode; Anwendung an </w:t>
            </w:r>
            <w:proofErr w:type="spellStart"/>
            <w:r w:rsidRPr="00705E02">
              <w:t>Mt</w:t>
            </w:r>
            <w:proofErr w:type="spellEnd"/>
            <w:r w:rsidRPr="00705E02">
              <w:t xml:space="preserve"> 6,19–34; Möglichkeiten, Chancen und Grenzen (A4)</w:t>
            </w:r>
          </w:p>
          <w:p w:rsidR="00F155AD" w:rsidRPr="00705E02" w:rsidRDefault="00F155AD" w:rsidP="00B45249">
            <w:r w:rsidRPr="00705E02">
              <w:t xml:space="preserve">S. 68/69: Historisch-kritische Auslegung von </w:t>
            </w:r>
            <w:proofErr w:type="spellStart"/>
            <w:r w:rsidRPr="00705E02">
              <w:t>Mt</w:t>
            </w:r>
            <w:proofErr w:type="spellEnd"/>
            <w:r w:rsidRPr="00705E02">
              <w:t xml:space="preserve"> 16,13–20 (A2c); Redaktions-/Kompositionskritik an </w:t>
            </w:r>
            <w:proofErr w:type="spellStart"/>
            <w:r w:rsidRPr="00705E02">
              <w:t>Mt</w:t>
            </w:r>
            <w:proofErr w:type="spellEnd"/>
          </w:p>
        </w:tc>
      </w:tr>
      <w:tr w:rsidR="00F155AD" w:rsidRPr="00FD6CEB" w:rsidTr="002437DB">
        <w:tc>
          <w:tcPr>
            <w:tcW w:w="218" w:type="pct"/>
            <w:shd w:val="clear" w:color="auto" w:fill="E7E6E6" w:themeFill="background2"/>
          </w:tcPr>
          <w:p w:rsidR="00F155AD" w:rsidRPr="00FD6CEB" w:rsidRDefault="00F155AD" w:rsidP="000720DD">
            <w:pPr>
              <w:rPr>
                <w:rFonts w:cs="Arial"/>
                <w:b/>
                <w:bCs/>
              </w:rPr>
            </w:pPr>
            <w:r w:rsidRPr="00FD6CEB">
              <w:rPr>
                <w:rFonts w:cs="Arial"/>
                <w:b/>
                <w:bCs/>
              </w:rPr>
              <w:t>KE 4</w:t>
            </w:r>
          </w:p>
        </w:tc>
        <w:tc>
          <w:tcPr>
            <w:tcW w:w="1326" w:type="pct"/>
          </w:tcPr>
          <w:p w:rsidR="00F155AD" w:rsidRPr="001C5BBA" w:rsidRDefault="00F155AD" w:rsidP="000720DD">
            <w:r w:rsidRPr="000720DD">
              <w:t>setzen weitere Lesarten der Bibel in Beziehung zur historisch-kritischen Exegese und prüfen an einem Textbeispiel aus der gewählten Tradition Reichweite und Grenzen unterschiedlicher Methoden und Lesarten.</w:t>
            </w:r>
          </w:p>
        </w:tc>
        <w:tc>
          <w:tcPr>
            <w:tcW w:w="193" w:type="pct"/>
            <w:shd w:val="clear" w:color="auto" w:fill="E7E6E6" w:themeFill="background2"/>
          </w:tcPr>
          <w:p w:rsidR="00F155AD" w:rsidRPr="00CD234D" w:rsidRDefault="00F155AD" w:rsidP="000720DD">
            <w:pPr>
              <w:rPr>
                <w:rFonts w:cs="Arial"/>
                <w:b/>
                <w:bCs/>
              </w:rPr>
            </w:pPr>
            <w:r>
              <w:rPr>
                <w:rFonts w:cs="Arial"/>
                <w:b/>
                <w:bCs/>
              </w:rPr>
              <w:t>IK 3</w:t>
            </w:r>
          </w:p>
        </w:tc>
        <w:tc>
          <w:tcPr>
            <w:tcW w:w="1401" w:type="pct"/>
          </w:tcPr>
          <w:p w:rsidR="00F155AD" w:rsidRPr="000720DD" w:rsidRDefault="00F155AD" w:rsidP="00705E02">
            <w:r w:rsidRPr="000720DD">
              <w:t>zwei</w:t>
            </w:r>
            <w:r>
              <w:t xml:space="preserve"> weitere Lesarten der Bibel, z. </w:t>
            </w:r>
            <w:r w:rsidRPr="000720DD">
              <w:t>B. psychologisch, befreiungstheologisch, feministisch</w:t>
            </w:r>
          </w:p>
        </w:tc>
        <w:tc>
          <w:tcPr>
            <w:tcW w:w="1862" w:type="pct"/>
            <w:shd w:val="clear" w:color="auto" w:fill="E7E6E6" w:themeFill="background2"/>
          </w:tcPr>
          <w:p w:rsidR="00F155AD" w:rsidRPr="00705E02" w:rsidRDefault="00F155AD" w:rsidP="00B45249">
            <w:r w:rsidRPr="00705E02">
              <w:t>S. 66/67: Reichweite u. Grenzen der hist.-</w:t>
            </w:r>
            <w:proofErr w:type="spellStart"/>
            <w:r w:rsidRPr="00705E02">
              <w:t>krit</w:t>
            </w:r>
            <w:proofErr w:type="spellEnd"/>
            <w:r w:rsidRPr="00705E02">
              <w:t>. Methode</w:t>
            </w:r>
          </w:p>
          <w:p w:rsidR="00F155AD" w:rsidRPr="00705E02" w:rsidRDefault="00F155AD" w:rsidP="00B45249">
            <w:r w:rsidRPr="00705E02">
              <w:t xml:space="preserve">S. 70/71: Tiefenpsychologische Exegese (Textbeispiel </w:t>
            </w:r>
            <w:proofErr w:type="spellStart"/>
            <w:r w:rsidRPr="00705E02">
              <w:t>Mt</w:t>
            </w:r>
            <w:proofErr w:type="spellEnd"/>
            <w:r w:rsidRPr="00705E02">
              <w:t xml:space="preserve"> 14,22–32; Vgl. mit </w:t>
            </w:r>
            <w:proofErr w:type="spellStart"/>
            <w:r w:rsidRPr="00705E02">
              <w:t>histor</w:t>
            </w:r>
            <w:proofErr w:type="spellEnd"/>
            <w:r w:rsidRPr="00705E02">
              <w:t>.-</w:t>
            </w:r>
            <w:proofErr w:type="spellStart"/>
            <w:r w:rsidRPr="00705E02">
              <w:t>krit</w:t>
            </w:r>
            <w:proofErr w:type="spellEnd"/>
            <w:r w:rsidRPr="00705E02">
              <w:t>. Exegese A4b, Reichweite und Grenzen A4c, weiteres Textbeispiel A5)</w:t>
            </w:r>
          </w:p>
          <w:p w:rsidR="00F155AD" w:rsidRPr="00705E02" w:rsidRDefault="00F155AD" w:rsidP="00B45249">
            <w:r w:rsidRPr="00705E02">
              <w:t xml:space="preserve">S. 72–75: Feministische Exegese (Vgl. mit </w:t>
            </w:r>
            <w:proofErr w:type="spellStart"/>
            <w:r w:rsidRPr="00705E02">
              <w:t>histor</w:t>
            </w:r>
            <w:proofErr w:type="spellEnd"/>
            <w:r w:rsidRPr="00705E02">
              <w:t>.-</w:t>
            </w:r>
            <w:proofErr w:type="spellStart"/>
            <w:r w:rsidRPr="00705E02">
              <w:t>krit</w:t>
            </w:r>
            <w:proofErr w:type="spellEnd"/>
            <w:r w:rsidRPr="00705E02">
              <w:t xml:space="preserve">. Exegese S. 73 A4, Anwendung/Diskussion an </w:t>
            </w:r>
            <w:proofErr w:type="spellStart"/>
            <w:r w:rsidRPr="00705E02">
              <w:t>Mt</w:t>
            </w:r>
            <w:proofErr w:type="spellEnd"/>
            <w:r w:rsidRPr="00705E02">
              <w:t>, Sinn und Potenzial S. 75 A4)</w:t>
            </w:r>
          </w:p>
        </w:tc>
      </w:tr>
      <w:tr w:rsidR="00F155AD" w:rsidRPr="00FD6CEB" w:rsidTr="000720DD">
        <w:trPr>
          <w:trHeight w:val="660"/>
        </w:trPr>
        <w:tc>
          <w:tcPr>
            <w:tcW w:w="218" w:type="pct"/>
            <w:shd w:val="clear" w:color="auto" w:fill="E7E6E6" w:themeFill="background2"/>
          </w:tcPr>
          <w:p w:rsidR="00F155AD" w:rsidRPr="00FD6CEB" w:rsidRDefault="00F155AD" w:rsidP="000720DD">
            <w:pPr>
              <w:rPr>
                <w:rFonts w:cs="Arial"/>
                <w:b/>
                <w:bCs/>
              </w:rPr>
            </w:pPr>
            <w:r>
              <w:rPr>
                <w:rFonts w:cs="Arial"/>
                <w:b/>
                <w:bCs/>
              </w:rPr>
              <w:t>KE 5</w:t>
            </w:r>
          </w:p>
        </w:tc>
        <w:tc>
          <w:tcPr>
            <w:tcW w:w="1326" w:type="pct"/>
            <w:tcBorders>
              <w:bottom w:val="single" w:sz="4" w:space="0" w:color="auto"/>
            </w:tcBorders>
          </w:tcPr>
          <w:p w:rsidR="00F155AD" w:rsidRPr="001C5BBA" w:rsidRDefault="00F155AD" w:rsidP="000720DD">
            <w:r w:rsidRPr="000720DD">
              <w:t>nehmen die Bedeutung der Wirkungsgeschichte für das Verständnis biblischer Texte wahr und vergleichen und deuten ausgewählte literarische, künstlerische oder mediale Umsetzungen des gewählten Textes.</w:t>
            </w:r>
          </w:p>
        </w:tc>
        <w:tc>
          <w:tcPr>
            <w:tcW w:w="193" w:type="pct"/>
            <w:shd w:val="clear" w:color="auto" w:fill="E7E6E6" w:themeFill="background2"/>
          </w:tcPr>
          <w:p w:rsidR="00F155AD" w:rsidRPr="00CD234D" w:rsidRDefault="00F155AD" w:rsidP="000720DD">
            <w:pPr>
              <w:rPr>
                <w:rFonts w:cs="Arial"/>
                <w:b/>
                <w:bCs/>
              </w:rPr>
            </w:pPr>
            <w:r>
              <w:rPr>
                <w:rFonts w:cs="Arial"/>
                <w:b/>
                <w:bCs/>
              </w:rPr>
              <w:t>IK 4</w:t>
            </w:r>
          </w:p>
        </w:tc>
        <w:tc>
          <w:tcPr>
            <w:tcW w:w="1401" w:type="pct"/>
          </w:tcPr>
          <w:p w:rsidR="00F155AD" w:rsidRPr="00F246EB" w:rsidRDefault="00F155AD" w:rsidP="000720DD">
            <w:r w:rsidRPr="000720DD">
              <w:t>Rezeption und Interpretation des gewählten biblischen Themas, z. B. in Gesellschaft und Politik, Kunst, Literatur, Musik, Film, Werbung, digitalen Medien; ggf. eigene Gestaltungsversuche</w:t>
            </w:r>
          </w:p>
        </w:tc>
        <w:tc>
          <w:tcPr>
            <w:tcW w:w="1862" w:type="pct"/>
            <w:shd w:val="clear" w:color="auto" w:fill="E7E6E6" w:themeFill="background2"/>
          </w:tcPr>
          <w:p w:rsidR="00F155AD" w:rsidRPr="00705E02" w:rsidRDefault="00F155AD" w:rsidP="000720DD">
            <w:r w:rsidRPr="00705E02">
              <w:t>S. 84/85: Wirkungsgeschichte der Bergpredigt bei Martin Luther King Jr. (Gesellschaft u. Politik) u. allgemein Auswirkungen biblischer Texte im privaten u. öffentlichen Leben (A4)</w:t>
            </w:r>
          </w:p>
          <w:p w:rsidR="00F155AD" w:rsidRPr="00705E02" w:rsidRDefault="00F155AD" w:rsidP="000720DD">
            <w:r w:rsidRPr="00705E02">
              <w:t xml:space="preserve">S. 86–89: Wirkungsgeschichte von </w:t>
            </w:r>
            <w:proofErr w:type="spellStart"/>
            <w:r w:rsidRPr="00705E02">
              <w:t>Mt</w:t>
            </w:r>
            <w:proofErr w:type="spellEnd"/>
            <w:r w:rsidRPr="00705E02">
              <w:t xml:space="preserve"> 2,1–12 in Kunst, Brauchtum, Musik, Design u. Literatur; Vgl. verschiedener Darstellungen/Umsetzungen mit dem Bibeltext u. miteinander; Deutung</w:t>
            </w:r>
          </w:p>
          <w:p w:rsidR="00F155AD" w:rsidRPr="00705E02" w:rsidRDefault="00F155AD" w:rsidP="003B7AB4">
            <w:r w:rsidRPr="00705E02">
              <w:t>S. 89: Rezeption des Matthäusevangeliums im Film; eigene Gestaltungsversuche (A3)</w:t>
            </w:r>
          </w:p>
        </w:tc>
      </w:tr>
      <w:tr w:rsidR="00F155AD" w:rsidRPr="00FD6CEB" w:rsidTr="00333AE9">
        <w:trPr>
          <w:trHeight w:val="660"/>
        </w:trPr>
        <w:tc>
          <w:tcPr>
            <w:tcW w:w="218" w:type="pct"/>
            <w:vMerge w:val="restart"/>
            <w:shd w:val="clear" w:color="auto" w:fill="E7E6E6" w:themeFill="background2"/>
          </w:tcPr>
          <w:p w:rsidR="00F155AD" w:rsidRDefault="00F155AD" w:rsidP="000720DD">
            <w:pPr>
              <w:rPr>
                <w:rFonts w:cs="Arial"/>
                <w:b/>
                <w:bCs/>
              </w:rPr>
            </w:pPr>
            <w:r>
              <w:rPr>
                <w:rFonts w:cs="Arial"/>
                <w:b/>
                <w:bCs/>
              </w:rPr>
              <w:lastRenderedPageBreak/>
              <w:t>KE 6</w:t>
            </w:r>
          </w:p>
        </w:tc>
        <w:tc>
          <w:tcPr>
            <w:tcW w:w="1326" w:type="pct"/>
            <w:vMerge w:val="restart"/>
            <w:tcBorders>
              <w:top w:val="single" w:sz="4" w:space="0" w:color="auto"/>
            </w:tcBorders>
          </w:tcPr>
          <w:p w:rsidR="00F155AD" w:rsidRPr="001C5BBA" w:rsidRDefault="00F155AD" w:rsidP="000720DD">
            <w:r w:rsidRPr="000720DD">
              <w:t>setzen sich mit evangelischem Schriftverständnis auseinander und vergleichen es mit dem anderer Traditionen.</w:t>
            </w:r>
          </w:p>
        </w:tc>
        <w:tc>
          <w:tcPr>
            <w:tcW w:w="193" w:type="pct"/>
            <w:shd w:val="clear" w:color="auto" w:fill="E7E6E6" w:themeFill="background2"/>
          </w:tcPr>
          <w:p w:rsidR="00F155AD" w:rsidRPr="00CD234D" w:rsidRDefault="00F155AD" w:rsidP="000720DD">
            <w:pPr>
              <w:rPr>
                <w:rFonts w:cs="Arial"/>
                <w:b/>
                <w:bCs/>
              </w:rPr>
            </w:pPr>
            <w:r>
              <w:rPr>
                <w:rFonts w:cs="Arial"/>
                <w:b/>
                <w:bCs/>
              </w:rPr>
              <w:t>IK 5</w:t>
            </w:r>
          </w:p>
        </w:tc>
        <w:tc>
          <w:tcPr>
            <w:tcW w:w="1401" w:type="pct"/>
          </w:tcPr>
          <w:p w:rsidR="00F155AD" w:rsidRPr="00F246EB" w:rsidRDefault="00F155AD" w:rsidP="000720DD">
            <w:r w:rsidRPr="000720DD">
              <w:t xml:space="preserve">Aspekte eines evangelischen Schriftverständnisses zwischen Anspruch auf Autorität und Freiheit von Autoritäten: Heilige Schrift, Wort Gottes, Jesus Christus als Mitte der Schrift, </w:t>
            </w:r>
            <w:proofErr w:type="spellStart"/>
            <w:r w:rsidRPr="000720DD">
              <w:t>sola</w:t>
            </w:r>
            <w:proofErr w:type="spellEnd"/>
            <w:r w:rsidRPr="000720DD">
              <w:t xml:space="preserve"> </w:t>
            </w:r>
            <w:proofErr w:type="spellStart"/>
            <w:r w:rsidRPr="000720DD">
              <w:t>scriptura</w:t>
            </w:r>
            <w:proofErr w:type="spellEnd"/>
          </w:p>
        </w:tc>
        <w:tc>
          <w:tcPr>
            <w:tcW w:w="1862" w:type="pct"/>
            <w:shd w:val="clear" w:color="auto" w:fill="E7E6E6" w:themeFill="background2"/>
          </w:tcPr>
          <w:p w:rsidR="00F155AD" w:rsidRPr="00705E02" w:rsidRDefault="00F155AD" w:rsidP="000720DD">
            <w:r w:rsidRPr="00705E02">
              <w:t>S. 76/77: Gottes Wort in Menschenwort, existenziales Schriftverständnis/Entmythologisierung; Vgl. mit anderen Auslegungsweisen und Lesarten (A7)</w:t>
            </w:r>
          </w:p>
          <w:p w:rsidR="00F155AD" w:rsidRPr="00705E02" w:rsidRDefault="00F155AD" w:rsidP="00242DEB">
            <w:r w:rsidRPr="00705E02">
              <w:t>S. 82/83: Evangelisches Schriftverständnis (</w:t>
            </w:r>
            <w:proofErr w:type="spellStart"/>
            <w:r w:rsidRPr="00705E02">
              <w:t>sola</w:t>
            </w:r>
            <w:proofErr w:type="spellEnd"/>
            <w:r w:rsidRPr="00705E02">
              <w:t xml:space="preserve"> </w:t>
            </w:r>
            <w:proofErr w:type="spellStart"/>
            <w:r w:rsidRPr="00705E02">
              <w:t>scriptura</w:t>
            </w:r>
            <w:proofErr w:type="spellEnd"/>
            <w:r w:rsidRPr="00705E02">
              <w:t xml:space="preserve">, Christus als Mitte der Schrift, </w:t>
            </w:r>
            <w:proofErr w:type="spellStart"/>
            <w:r w:rsidRPr="00705E02">
              <w:t>scriptura</w:t>
            </w:r>
            <w:proofErr w:type="spellEnd"/>
            <w:r w:rsidRPr="00705E02">
              <w:t xml:space="preserve"> </w:t>
            </w:r>
            <w:proofErr w:type="spellStart"/>
            <w:r w:rsidRPr="00705E02">
              <w:t>sacra</w:t>
            </w:r>
            <w:proofErr w:type="spellEnd"/>
            <w:r w:rsidRPr="00705E02">
              <w:t xml:space="preserve"> sui </w:t>
            </w:r>
            <w:proofErr w:type="spellStart"/>
            <w:r w:rsidRPr="00705E02">
              <w:t>ipsius</w:t>
            </w:r>
            <w:proofErr w:type="spellEnd"/>
            <w:r w:rsidRPr="00705E02">
              <w:t xml:space="preserve"> </w:t>
            </w:r>
            <w:proofErr w:type="spellStart"/>
            <w:r w:rsidRPr="00705E02">
              <w:t>interpres</w:t>
            </w:r>
            <w:proofErr w:type="spellEnd"/>
            <w:r w:rsidRPr="00705E02">
              <w:t>); Vergleich mit anderen Traditionen (A5)</w:t>
            </w:r>
          </w:p>
        </w:tc>
      </w:tr>
      <w:tr w:rsidR="00F155AD" w:rsidRPr="00FD6CEB" w:rsidTr="00333AE9">
        <w:trPr>
          <w:trHeight w:val="660"/>
        </w:trPr>
        <w:tc>
          <w:tcPr>
            <w:tcW w:w="218" w:type="pct"/>
            <w:vMerge/>
            <w:shd w:val="clear" w:color="auto" w:fill="E7E6E6" w:themeFill="background2"/>
          </w:tcPr>
          <w:p w:rsidR="00F155AD" w:rsidRDefault="00F155AD" w:rsidP="000720DD">
            <w:pPr>
              <w:rPr>
                <w:rFonts w:cs="Arial"/>
                <w:b/>
                <w:bCs/>
              </w:rPr>
            </w:pPr>
          </w:p>
        </w:tc>
        <w:tc>
          <w:tcPr>
            <w:tcW w:w="1326" w:type="pct"/>
            <w:vMerge/>
          </w:tcPr>
          <w:p w:rsidR="00F155AD" w:rsidRPr="000720DD" w:rsidRDefault="00F155AD" w:rsidP="000720DD"/>
        </w:tc>
        <w:tc>
          <w:tcPr>
            <w:tcW w:w="193" w:type="pct"/>
            <w:shd w:val="clear" w:color="auto" w:fill="E7E6E6" w:themeFill="background2"/>
          </w:tcPr>
          <w:p w:rsidR="00F155AD" w:rsidRPr="000720DD" w:rsidRDefault="00F155AD" w:rsidP="000720DD">
            <w:r>
              <w:rPr>
                <w:rFonts w:cs="Arial"/>
                <w:b/>
                <w:bCs/>
              </w:rPr>
              <w:t>IK</w:t>
            </w:r>
            <w:r w:rsidRPr="000720DD">
              <w:rPr>
                <w:rFonts w:cs="Arial"/>
                <w:b/>
                <w:bCs/>
              </w:rPr>
              <w:t> 6</w:t>
            </w:r>
          </w:p>
        </w:tc>
        <w:tc>
          <w:tcPr>
            <w:tcW w:w="1401" w:type="pct"/>
          </w:tcPr>
          <w:p w:rsidR="00F155AD" w:rsidRPr="000720DD" w:rsidRDefault="00F155AD" w:rsidP="000720DD">
            <w:r w:rsidRPr="000720DD">
              <w:t>Schriftverständnis in einer Tradition mindestens einer anderen Konfession (z. B. Katholizismus, Orthodoxie) oder Religion (z. B. Judentum, Islam); fundamentalistisches Bibelverständnis</w:t>
            </w:r>
          </w:p>
        </w:tc>
        <w:tc>
          <w:tcPr>
            <w:tcW w:w="1862" w:type="pct"/>
            <w:shd w:val="clear" w:color="auto" w:fill="E7E6E6" w:themeFill="background2"/>
          </w:tcPr>
          <w:p w:rsidR="00F155AD" w:rsidRPr="00705E02" w:rsidRDefault="00F155AD" w:rsidP="000720DD">
            <w:r w:rsidRPr="00705E02">
              <w:t>S. 78/79: Fundamentalistisches Schriftverständnis (</w:t>
            </w:r>
            <w:proofErr w:type="spellStart"/>
            <w:r w:rsidRPr="00705E02">
              <w:t>fundamentalist</w:t>
            </w:r>
            <w:proofErr w:type="spellEnd"/>
            <w:r w:rsidRPr="00705E02">
              <w:t>. Auslegung auch in anderen Religionen in M4)</w:t>
            </w:r>
          </w:p>
          <w:p w:rsidR="00F155AD" w:rsidRPr="00705E02" w:rsidRDefault="00F155AD" w:rsidP="000720DD">
            <w:r w:rsidRPr="00705E02">
              <w:t>S. 80/81: Katholisches Schriftverständnis</w:t>
            </w:r>
          </w:p>
        </w:tc>
      </w:tr>
    </w:tbl>
    <w:p w:rsidR="00F155AD" w:rsidRDefault="00F155AD">
      <w:pPr>
        <w:spacing w:line="240" w:lineRule="auto"/>
        <w:rPr>
          <w:rFonts w:cs="Arial"/>
        </w:rPr>
      </w:pPr>
    </w:p>
    <w:p w:rsidR="00F155AD" w:rsidRDefault="00F155AD">
      <w:pPr>
        <w:spacing w:line="240" w:lineRule="auto"/>
        <w:rPr>
          <w:rFonts w:cs="Arial"/>
        </w:rPr>
      </w:pPr>
      <w:r>
        <w:rPr>
          <w:rFonts w:cs="Arial"/>
        </w:rPr>
        <w:br w:type="page"/>
      </w:r>
    </w:p>
    <w:tbl>
      <w:tblPr>
        <w:tblStyle w:val="Tabellenraster"/>
        <w:tblW w:w="5000" w:type="pct"/>
        <w:tblLook w:val="04A0" w:firstRow="1" w:lastRow="0" w:firstColumn="1" w:lastColumn="0" w:noHBand="0" w:noVBand="1"/>
      </w:tblPr>
      <w:tblGrid>
        <w:gridCol w:w="661"/>
        <w:gridCol w:w="4010"/>
        <w:gridCol w:w="584"/>
        <w:gridCol w:w="4238"/>
        <w:gridCol w:w="5633"/>
      </w:tblGrid>
      <w:tr w:rsidR="00F155AD" w:rsidRPr="00CD234D" w:rsidTr="00B5512F">
        <w:tc>
          <w:tcPr>
            <w:tcW w:w="5000" w:type="pct"/>
            <w:gridSpan w:val="5"/>
            <w:tcBorders>
              <w:top w:val="single" w:sz="4" w:space="0" w:color="auto"/>
              <w:left w:val="single" w:sz="4" w:space="0" w:color="auto"/>
              <w:bottom w:val="single" w:sz="4" w:space="0" w:color="auto"/>
              <w:right w:val="single" w:sz="4" w:space="0" w:color="auto"/>
            </w:tcBorders>
            <w:shd w:val="clear" w:color="auto" w:fill="C00000"/>
            <w:vAlign w:val="center"/>
          </w:tcPr>
          <w:p w:rsidR="00F155AD" w:rsidRPr="00CD234D" w:rsidRDefault="00F155AD" w:rsidP="00845F4B">
            <w:pPr>
              <w:spacing w:before="120" w:after="120"/>
              <w:rPr>
                <w:rFonts w:cs="Arial"/>
                <w:b/>
                <w:bCs/>
              </w:rPr>
            </w:pPr>
            <w:r w:rsidRPr="00C24D3B">
              <w:rPr>
                <w:b/>
              </w:rPr>
              <w:lastRenderedPageBreak/>
              <w:t>ER1</w:t>
            </w:r>
            <w:r>
              <w:rPr>
                <w:b/>
              </w:rPr>
              <w:t>1</w:t>
            </w:r>
            <w:r w:rsidRPr="00C24D3B">
              <w:rPr>
                <w:b/>
              </w:rPr>
              <w:t xml:space="preserve"> Lernbereich </w:t>
            </w:r>
            <w:r w:rsidR="00845F4B">
              <w:rPr>
                <w:b/>
              </w:rPr>
              <w:t>4</w:t>
            </w:r>
            <w:bookmarkStart w:id="0" w:name="_GoBack"/>
            <w:bookmarkEnd w:id="0"/>
            <w:r w:rsidRPr="00C24D3B">
              <w:rPr>
                <w:b/>
              </w:rPr>
              <w:t xml:space="preserve">: </w:t>
            </w:r>
            <w:r>
              <w:rPr>
                <w:b/>
              </w:rPr>
              <w:t>Zwischen Distanz und Nähe: Judentum, Christentum, Islam</w:t>
            </w:r>
            <w:r w:rsidRPr="00C24D3B">
              <w:rPr>
                <w:b/>
              </w:rPr>
              <w:t xml:space="preserve"> (ca. 1</w:t>
            </w:r>
            <w:r>
              <w:rPr>
                <w:b/>
              </w:rPr>
              <w:t>2</w:t>
            </w:r>
            <w:r w:rsidRPr="00C24D3B">
              <w:rPr>
                <w:b/>
              </w:rPr>
              <w:t xml:space="preserve"> Std.)</w:t>
            </w:r>
          </w:p>
        </w:tc>
      </w:tr>
      <w:tr w:rsidR="00F155AD" w:rsidRPr="00FD6CEB" w:rsidTr="002437DB">
        <w:tc>
          <w:tcPr>
            <w:tcW w:w="218" w:type="pct"/>
            <w:tcBorders>
              <w:top w:val="single" w:sz="4" w:space="0" w:color="auto"/>
            </w:tcBorders>
            <w:shd w:val="clear" w:color="auto" w:fill="AEAAAA" w:themeFill="background2" w:themeFillShade="BF"/>
            <w:vAlign w:val="center"/>
          </w:tcPr>
          <w:p w:rsidR="00F155AD" w:rsidRPr="00FD6CEB" w:rsidRDefault="00F155AD" w:rsidP="00B5512F">
            <w:pPr>
              <w:rPr>
                <w:rFonts w:cs="Arial"/>
                <w:b/>
                <w:bCs/>
              </w:rPr>
            </w:pPr>
          </w:p>
        </w:tc>
        <w:tc>
          <w:tcPr>
            <w:tcW w:w="1326" w:type="pct"/>
            <w:tcBorders>
              <w:top w:val="single" w:sz="4" w:space="0" w:color="auto"/>
            </w:tcBorders>
            <w:shd w:val="clear" w:color="auto" w:fill="AEAAAA" w:themeFill="background2" w:themeFillShade="BF"/>
            <w:vAlign w:val="center"/>
          </w:tcPr>
          <w:p w:rsidR="00F155AD" w:rsidRPr="00FD6CEB" w:rsidRDefault="00F155AD" w:rsidP="00B5512F">
            <w:pPr>
              <w:rPr>
                <w:rFonts w:cs="Arial"/>
                <w:b/>
                <w:bCs/>
              </w:rPr>
            </w:pPr>
            <w:r w:rsidRPr="00FD6CEB">
              <w:rPr>
                <w:rFonts w:cs="Arial"/>
                <w:b/>
                <w:bCs/>
              </w:rPr>
              <w:t>Kompetenzerwartungen (KE)</w:t>
            </w:r>
            <w:r>
              <w:rPr>
                <w:rFonts w:cs="Arial"/>
                <w:b/>
                <w:bCs/>
              </w:rPr>
              <w:t xml:space="preserve">: </w:t>
            </w:r>
            <w:r>
              <w:rPr>
                <w:rFonts w:cs="Arial"/>
                <w:b/>
                <w:bCs/>
              </w:rPr>
              <w:br/>
            </w:r>
            <w:r w:rsidRPr="00FD6CEB">
              <w:rPr>
                <w:rFonts w:cs="Arial"/>
                <w:i/>
                <w:iCs/>
              </w:rPr>
              <w:t>Die Schülerinnen und Schüler</w:t>
            </w:r>
            <w:r>
              <w:rPr>
                <w:rFonts w:cs="Arial"/>
                <w:i/>
                <w:iCs/>
              </w:rPr>
              <w:t xml:space="preserve"> </w:t>
            </w:r>
            <w:r w:rsidRPr="00FD6CEB">
              <w:rPr>
                <w:rFonts w:cs="Arial"/>
                <w:i/>
                <w:iCs/>
              </w:rPr>
              <w:t>…</w:t>
            </w:r>
          </w:p>
        </w:tc>
        <w:tc>
          <w:tcPr>
            <w:tcW w:w="193" w:type="pct"/>
            <w:tcBorders>
              <w:top w:val="single" w:sz="4" w:space="0" w:color="auto"/>
            </w:tcBorders>
            <w:shd w:val="clear" w:color="auto" w:fill="AEAAAA" w:themeFill="background2" w:themeFillShade="BF"/>
            <w:vAlign w:val="center"/>
          </w:tcPr>
          <w:p w:rsidR="00F155AD" w:rsidRPr="00C24D3B" w:rsidRDefault="00F155AD" w:rsidP="00B5512F">
            <w:pPr>
              <w:rPr>
                <w:rFonts w:cs="Arial"/>
                <w:b/>
                <w:bCs/>
              </w:rPr>
            </w:pPr>
          </w:p>
        </w:tc>
        <w:tc>
          <w:tcPr>
            <w:tcW w:w="1401" w:type="pct"/>
            <w:tcBorders>
              <w:top w:val="single" w:sz="4" w:space="0" w:color="auto"/>
            </w:tcBorders>
            <w:shd w:val="clear" w:color="auto" w:fill="AEAAAA" w:themeFill="background2" w:themeFillShade="BF"/>
            <w:vAlign w:val="center"/>
          </w:tcPr>
          <w:p w:rsidR="00F155AD" w:rsidRPr="00FD6CEB" w:rsidRDefault="00F155AD" w:rsidP="00B5512F">
            <w:pPr>
              <w:rPr>
                <w:rFonts w:cs="Arial"/>
                <w:b/>
                <w:bCs/>
              </w:rPr>
            </w:pPr>
            <w:r w:rsidRPr="00C24D3B">
              <w:rPr>
                <w:rFonts w:cs="Arial"/>
                <w:b/>
                <w:bCs/>
              </w:rPr>
              <w:t>Inhalte zu den Kompetenzen (IK)</w:t>
            </w:r>
          </w:p>
        </w:tc>
        <w:tc>
          <w:tcPr>
            <w:tcW w:w="1862" w:type="pct"/>
            <w:tcBorders>
              <w:top w:val="single" w:sz="4" w:space="0" w:color="auto"/>
            </w:tcBorders>
            <w:shd w:val="clear" w:color="auto" w:fill="AEAAAA" w:themeFill="background2" w:themeFillShade="BF"/>
            <w:vAlign w:val="center"/>
          </w:tcPr>
          <w:p w:rsidR="00F155AD" w:rsidRPr="00FD6CEB" w:rsidRDefault="00F155AD" w:rsidP="00B5512F">
            <w:pPr>
              <w:rPr>
                <w:rFonts w:cs="Arial"/>
                <w:b/>
                <w:bCs/>
              </w:rPr>
            </w:pPr>
            <w:r w:rsidRPr="00A6633E">
              <w:rPr>
                <w:rFonts w:cs="Arial"/>
                <w:b/>
                <w:bCs/>
              </w:rPr>
              <w:t>Umsetzung im Schulbuch</w:t>
            </w:r>
          </w:p>
        </w:tc>
      </w:tr>
      <w:tr w:rsidR="00F155AD" w:rsidRPr="00FD6CEB" w:rsidTr="005B58E2">
        <w:trPr>
          <w:trHeight w:val="888"/>
        </w:trPr>
        <w:tc>
          <w:tcPr>
            <w:tcW w:w="218" w:type="pct"/>
            <w:vMerge w:val="restart"/>
            <w:shd w:val="clear" w:color="auto" w:fill="E7E6E6" w:themeFill="background2"/>
          </w:tcPr>
          <w:p w:rsidR="00F155AD" w:rsidRPr="00FD6CEB" w:rsidRDefault="00F155AD" w:rsidP="005B58E2">
            <w:pPr>
              <w:rPr>
                <w:rFonts w:cs="Arial"/>
                <w:b/>
                <w:bCs/>
              </w:rPr>
            </w:pPr>
            <w:r w:rsidRPr="00FD6CEB">
              <w:rPr>
                <w:rFonts w:cs="Arial"/>
                <w:b/>
                <w:bCs/>
              </w:rPr>
              <w:t>KE 1</w:t>
            </w:r>
          </w:p>
        </w:tc>
        <w:tc>
          <w:tcPr>
            <w:tcW w:w="1326" w:type="pct"/>
            <w:vMerge w:val="restart"/>
          </w:tcPr>
          <w:p w:rsidR="00F155AD" w:rsidRDefault="00F155AD" w:rsidP="005B58E2">
            <w:r w:rsidRPr="005B58E2">
              <w:t xml:space="preserve">nehmen lebensweltliche bzw. mediale Zusammenhänge wahr, in denen das Verhältnis von Judentum, Christentum und Islam zum Thema wird, </w:t>
            </w:r>
          </w:p>
          <w:p w:rsidR="00F155AD" w:rsidRPr="000720DD" w:rsidRDefault="00F155AD" w:rsidP="005B58E2">
            <w:r w:rsidRPr="005B58E2">
              <w:t>und setzen sich mit der Problematik von stereotypen Zuschreibungen auseinander.</w:t>
            </w:r>
          </w:p>
        </w:tc>
        <w:tc>
          <w:tcPr>
            <w:tcW w:w="193" w:type="pct"/>
            <w:shd w:val="clear" w:color="auto" w:fill="E7E6E6" w:themeFill="background2"/>
          </w:tcPr>
          <w:p w:rsidR="00F155AD" w:rsidRPr="00CD234D" w:rsidRDefault="00F155AD" w:rsidP="005B58E2">
            <w:pPr>
              <w:rPr>
                <w:rFonts w:cs="Arial"/>
                <w:b/>
                <w:bCs/>
              </w:rPr>
            </w:pPr>
            <w:r>
              <w:rPr>
                <w:rFonts w:cs="Arial"/>
                <w:b/>
                <w:bCs/>
              </w:rPr>
              <w:t>IK 1</w:t>
            </w:r>
          </w:p>
        </w:tc>
        <w:tc>
          <w:tcPr>
            <w:tcW w:w="1401" w:type="pct"/>
          </w:tcPr>
          <w:p w:rsidR="00F155AD" w:rsidRPr="000720DD" w:rsidRDefault="00F155AD" w:rsidP="008D0CC7">
            <w:r w:rsidRPr="005B58E2">
              <w:t>Beispiele für das Verhältnis von Juden und/oder Christen und/oder Muslimen aus Lebensumfeld bzw. analogen wie digitalen Medien</w:t>
            </w:r>
          </w:p>
        </w:tc>
        <w:tc>
          <w:tcPr>
            <w:tcW w:w="1862" w:type="pct"/>
            <w:shd w:val="clear" w:color="auto" w:fill="E7E6E6" w:themeFill="background2"/>
          </w:tcPr>
          <w:p w:rsidR="00F155AD" w:rsidRDefault="00F155AD" w:rsidP="005B58E2">
            <w:pPr>
              <w:rPr>
                <w:rFonts w:cs="Arial"/>
              </w:rPr>
            </w:pPr>
            <w:r>
              <w:rPr>
                <w:rFonts w:cs="Arial"/>
              </w:rPr>
              <w:t>S. 92/93: Medialer Zusammenhang (Skulptur); Anforderungssituation Aktionstag der drei Religionen; dazu eigene Erfahrungen aus der Lebenswelt</w:t>
            </w:r>
          </w:p>
          <w:p w:rsidR="00F155AD" w:rsidRPr="00242D43" w:rsidRDefault="00F155AD" w:rsidP="005B58E2">
            <w:pPr>
              <w:rPr>
                <w:rFonts w:cs="Arial"/>
              </w:rPr>
            </w:pPr>
            <w:r>
              <w:rPr>
                <w:rFonts w:cs="Arial"/>
              </w:rPr>
              <w:t>S. 94/95: Verhältnis in Medien (Filme, Talkshows, Zeitungen); eigene Erfahrungen</w:t>
            </w:r>
          </w:p>
        </w:tc>
      </w:tr>
      <w:tr w:rsidR="00F155AD" w:rsidRPr="00FD6CEB" w:rsidTr="001F448F">
        <w:trPr>
          <w:trHeight w:val="887"/>
        </w:trPr>
        <w:tc>
          <w:tcPr>
            <w:tcW w:w="218" w:type="pct"/>
            <w:vMerge/>
            <w:shd w:val="clear" w:color="auto" w:fill="E7E6E6" w:themeFill="background2"/>
          </w:tcPr>
          <w:p w:rsidR="00F155AD" w:rsidRPr="00FD6CEB" w:rsidRDefault="00F155AD" w:rsidP="005B58E2">
            <w:pPr>
              <w:rPr>
                <w:rFonts w:cs="Arial"/>
                <w:b/>
                <w:bCs/>
              </w:rPr>
            </w:pPr>
          </w:p>
        </w:tc>
        <w:tc>
          <w:tcPr>
            <w:tcW w:w="1326" w:type="pct"/>
            <w:vMerge/>
          </w:tcPr>
          <w:p w:rsidR="00F155AD" w:rsidRPr="005B58E2" w:rsidRDefault="00F155AD" w:rsidP="005B58E2"/>
        </w:tc>
        <w:tc>
          <w:tcPr>
            <w:tcW w:w="193" w:type="pct"/>
            <w:shd w:val="clear" w:color="auto" w:fill="E7E6E6" w:themeFill="background2"/>
          </w:tcPr>
          <w:p w:rsidR="00F155AD" w:rsidRPr="00CD234D" w:rsidRDefault="00F155AD" w:rsidP="005B58E2">
            <w:pPr>
              <w:rPr>
                <w:rFonts w:cs="Arial"/>
                <w:b/>
                <w:bCs/>
              </w:rPr>
            </w:pPr>
            <w:r>
              <w:rPr>
                <w:rFonts w:cs="Arial"/>
                <w:b/>
                <w:bCs/>
              </w:rPr>
              <w:t>IK 2</w:t>
            </w:r>
          </w:p>
        </w:tc>
        <w:tc>
          <w:tcPr>
            <w:tcW w:w="1401" w:type="pct"/>
          </w:tcPr>
          <w:p w:rsidR="00F155AD" w:rsidRPr="005B58E2" w:rsidRDefault="00F155AD" w:rsidP="008D0CC7">
            <w:r w:rsidRPr="005B58E2">
              <w:t>Stereotypen, z. B. in Vorurteil, Klischee, Ressentiment; ihre Funktionen wie Komplexitätsreduktion, Abwertung, Konturierung der eigenen Identität</w:t>
            </w:r>
          </w:p>
        </w:tc>
        <w:tc>
          <w:tcPr>
            <w:tcW w:w="1862" w:type="pct"/>
            <w:shd w:val="clear" w:color="auto" w:fill="E7E6E6" w:themeFill="background2"/>
          </w:tcPr>
          <w:p w:rsidR="00F155AD" w:rsidRDefault="00F155AD" w:rsidP="005B58E2">
            <w:pPr>
              <w:rPr>
                <w:rFonts w:cs="Arial"/>
              </w:rPr>
            </w:pPr>
            <w:r>
              <w:rPr>
                <w:rFonts w:cs="Arial"/>
              </w:rPr>
              <w:t>S. 94/95: Auseinandersetzung mit der Problematik von Projektionen, Stereotypen, Vorurteilen und ihren Funktionen</w:t>
            </w:r>
          </w:p>
        </w:tc>
      </w:tr>
      <w:tr w:rsidR="00F155AD" w:rsidRPr="00FD6CEB" w:rsidTr="005B58E2">
        <w:trPr>
          <w:trHeight w:val="888"/>
        </w:trPr>
        <w:tc>
          <w:tcPr>
            <w:tcW w:w="218" w:type="pct"/>
            <w:vMerge w:val="restart"/>
            <w:shd w:val="clear" w:color="auto" w:fill="E7E6E6" w:themeFill="background2"/>
          </w:tcPr>
          <w:p w:rsidR="00F155AD" w:rsidRPr="00FD6CEB" w:rsidRDefault="00F155AD" w:rsidP="005B58E2">
            <w:pPr>
              <w:rPr>
                <w:rFonts w:cs="Arial"/>
                <w:b/>
                <w:bCs/>
              </w:rPr>
            </w:pPr>
            <w:r w:rsidRPr="00FD6CEB">
              <w:rPr>
                <w:rFonts w:cs="Arial"/>
                <w:b/>
                <w:bCs/>
              </w:rPr>
              <w:t>KE 2</w:t>
            </w:r>
          </w:p>
        </w:tc>
        <w:tc>
          <w:tcPr>
            <w:tcW w:w="1326" w:type="pct"/>
            <w:vMerge w:val="restart"/>
          </w:tcPr>
          <w:p w:rsidR="00F155AD" w:rsidRDefault="00F155AD" w:rsidP="005B58E2">
            <w:r w:rsidRPr="005B58E2">
              <w:t xml:space="preserve">stellen exemplarisch Beziehungen von Judentum, Christentum und Islam in Vergangenheit und Gegenwart dar </w:t>
            </w:r>
          </w:p>
          <w:p w:rsidR="00F155AD" w:rsidRDefault="00F155AD" w:rsidP="005B58E2"/>
          <w:p w:rsidR="00F155AD" w:rsidRPr="001C5BBA" w:rsidRDefault="00F155AD" w:rsidP="005B58E2">
            <w:r w:rsidRPr="005B58E2">
              <w:t>und reflektieren die Möglichkeit, von den drei Religionen als den „abrahamitischen“ zu sprechen.</w:t>
            </w:r>
          </w:p>
        </w:tc>
        <w:tc>
          <w:tcPr>
            <w:tcW w:w="193" w:type="pct"/>
            <w:shd w:val="clear" w:color="auto" w:fill="E7E6E6" w:themeFill="background2"/>
          </w:tcPr>
          <w:p w:rsidR="00F155AD" w:rsidRPr="00CD234D" w:rsidRDefault="00F155AD" w:rsidP="005B58E2">
            <w:pPr>
              <w:rPr>
                <w:rFonts w:cs="Arial"/>
                <w:b/>
                <w:bCs/>
              </w:rPr>
            </w:pPr>
            <w:r>
              <w:rPr>
                <w:rFonts w:cs="Arial"/>
                <w:b/>
                <w:bCs/>
              </w:rPr>
              <w:t>IK 3</w:t>
            </w:r>
          </w:p>
        </w:tc>
        <w:tc>
          <w:tcPr>
            <w:tcW w:w="1401" w:type="pct"/>
          </w:tcPr>
          <w:p w:rsidR="00F155AD" w:rsidRPr="00F246EB" w:rsidRDefault="00F155AD" w:rsidP="005B58E2">
            <w:r w:rsidRPr="005B58E2">
              <w:t>Beziehungen von Judentum, Christentum und Islam im Überblick, z. B. zur Zeit der Kreuzzüge, während der Blütezeit des Islam in Spanien, im 20. und 21. Jahrhundert</w:t>
            </w:r>
          </w:p>
        </w:tc>
        <w:tc>
          <w:tcPr>
            <w:tcW w:w="1862" w:type="pct"/>
            <w:shd w:val="clear" w:color="auto" w:fill="E7E6E6" w:themeFill="background2"/>
          </w:tcPr>
          <w:p w:rsidR="00F155AD" w:rsidRDefault="00F155AD" w:rsidP="005B58E2">
            <w:pPr>
              <w:rPr>
                <w:rFonts w:cs="Arial"/>
              </w:rPr>
            </w:pPr>
            <w:r>
              <w:rPr>
                <w:rFonts w:cs="Arial"/>
              </w:rPr>
              <w:t>S. 96/97: Beziehungen in der Blütezeit des Islam in Spanien</w:t>
            </w:r>
          </w:p>
          <w:p w:rsidR="00F155AD" w:rsidRDefault="00F155AD" w:rsidP="005B58E2">
            <w:pPr>
              <w:rPr>
                <w:rFonts w:cs="Arial"/>
              </w:rPr>
            </w:pPr>
            <w:r>
              <w:rPr>
                <w:rFonts w:cs="Arial"/>
              </w:rPr>
              <w:t>S. 98/99: Beziehungen zur Zeit der Kreuzzüge</w:t>
            </w:r>
          </w:p>
          <w:p w:rsidR="00F155AD" w:rsidRPr="00242D43" w:rsidRDefault="00F155AD" w:rsidP="005B58E2">
            <w:pPr>
              <w:rPr>
                <w:rFonts w:cs="Arial"/>
              </w:rPr>
            </w:pPr>
            <w:r>
              <w:rPr>
                <w:rFonts w:cs="Arial"/>
              </w:rPr>
              <w:t>S. 100/101: Beziehungen im 21. Jahrhundert / heute</w:t>
            </w:r>
          </w:p>
        </w:tc>
      </w:tr>
      <w:tr w:rsidR="00F155AD" w:rsidRPr="00FD6CEB" w:rsidTr="00CB4BC9">
        <w:trPr>
          <w:trHeight w:val="887"/>
        </w:trPr>
        <w:tc>
          <w:tcPr>
            <w:tcW w:w="218" w:type="pct"/>
            <w:vMerge/>
            <w:shd w:val="clear" w:color="auto" w:fill="E7E6E6" w:themeFill="background2"/>
          </w:tcPr>
          <w:p w:rsidR="00F155AD" w:rsidRPr="00FD6CEB" w:rsidRDefault="00F155AD" w:rsidP="005B58E2">
            <w:pPr>
              <w:rPr>
                <w:rFonts w:cs="Arial"/>
                <w:b/>
                <w:bCs/>
              </w:rPr>
            </w:pPr>
          </w:p>
        </w:tc>
        <w:tc>
          <w:tcPr>
            <w:tcW w:w="1326" w:type="pct"/>
            <w:vMerge/>
          </w:tcPr>
          <w:p w:rsidR="00F155AD" w:rsidRPr="005B58E2" w:rsidRDefault="00F155AD" w:rsidP="005B58E2"/>
        </w:tc>
        <w:tc>
          <w:tcPr>
            <w:tcW w:w="193" w:type="pct"/>
            <w:shd w:val="clear" w:color="auto" w:fill="E7E6E6" w:themeFill="background2"/>
          </w:tcPr>
          <w:p w:rsidR="00F155AD" w:rsidRPr="00CD234D" w:rsidRDefault="00F155AD" w:rsidP="005B58E2">
            <w:pPr>
              <w:rPr>
                <w:rFonts w:cs="Arial"/>
                <w:b/>
                <w:bCs/>
              </w:rPr>
            </w:pPr>
            <w:r>
              <w:rPr>
                <w:rFonts w:cs="Arial"/>
                <w:b/>
                <w:bCs/>
              </w:rPr>
              <w:t>IK 4</w:t>
            </w:r>
          </w:p>
        </w:tc>
        <w:tc>
          <w:tcPr>
            <w:tcW w:w="1401" w:type="pct"/>
          </w:tcPr>
          <w:p w:rsidR="00F155AD" w:rsidRPr="005B58E2" w:rsidRDefault="00F155AD" w:rsidP="005B58E2">
            <w:r w:rsidRPr="005B58E2">
              <w:t>Gemeinsamkeiten und Unterschiede in der jüdischen, christlichen und islamischen Berufung auf Abraham</w:t>
            </w:r>
          </w:p>
        </w:tc>
        <w:tc>
          <w:tcPr>
            <w:tcW w:w="1862" w:type="pct"/>
            <w:shd w:val="clear" w:color="auto" w:fill="E7E6E6" w:themeFill="background2"/>
          </w:tcPr>
          <w:p w:rsidR="00F155AD" w:rsidRPr="00242D43" w:rsidRDefault="00F155AD" w:rsidP="005B58E2">
            <w:pPr>
              <w:rPr>
                <w:rFonts w:cs="Arial"/>
              </w:rPr>
            </w:pPr>
            <w:r>
              <w:rPr>
                <w:rFonts w:cs="Arial"/>
              </w:rPr>
              <w:t>S. 102/103: Reflektion der jeweiligen Berufung auf Abraham, Gemeinsamkeiten u. Unterschiede</w:t>
            </w:r>
          </w:p>
        </w:tc>
      </w:tr>
      <w:tr w:rsidR="00F155AD" w:rsidRPr="00FD6CEB" w:rsidTr="002437DB">
        <w:tc>
          <w:tcPr>
            <w:tcW w:w="218" w:type="pct"/>
            <w:shd w:val="clear" w:color="auto" w:fill="E7E6E6" w:themeFill="background2"/>
          </w:tcPr>
          <w:p w:rsidR="00F155AD" w:rsidRPr="000720DD" w:rsidRDefault="00F155AD" w:rsidP="005B58E2">
            <w:pPr>
              <w:rPr>
                <w:rFonts w:cs="Arial"/>
                <w:b/>
                <w:bCs/>
              </w:rPr>
            </w:pPr>
            <w:r w:rsidRPr="00FD6CEB">
              <w:rPr>
                <w:rFonts w:cs="Arial"/>
                <w:b/>
                <w:bCs/>
              </w:rPr>
              <w:t>KE 3</w:t>
            </w:r>
          </w:p>
        </w:tc>
        <w:tc>
          <w:tcPr>
            <w:tcW w:w="1326" w:type="pct"/>
          </w:tcPr>
          <w:p w:rsidR="00F155AD" w:rsidRPr="001C5BBA" w:rsidRDefault="00F155AD" w:rsidP="005B58E2">
            <w:r w:rsidRPr="005B58E2">
              <w:t>identifizieren gemeinsame Glaubensthemen und vergleichen an einem Beispiel ausgewählte Positionen der drei Religionen.</w:t>
            </w:r>
          </w:p>
        </w:tc>
        <w:tc>
          <w:tcPr>
            <w:tcW w:w="193" w:type="pct"/>
            <w:shd w:val="clear" w:color="auto" w:fill="E7E6E6" w:themeFill="background2"/>
          </w:tcPr>
          <w:p w:rsidR="00F155AD" w:rsidRPr="00CD234D" w:rsidRDefault="00F155AD" w:rsidP="005B58E2">
            <w:pPr>
              <w:rPr>
                <w:rFonts w:cs="Arial"/>
                <w:b/>
                <w:bCs/>
              </w:rPr>
            </w:pPr>
            <w:r>
              <w:rPr>
                <w:rFonts w:cs="Arial"/>
                <w:b/>
                <w:bCs/>
              </w:rPr>
              <w:t>IK 5</w:t>
            </w:r>
          </w:p>
        </w:tc>
        <w:tc>
          <w:tcPr>
            <w:tcW w:w="1401" w:type="pct"/>
          </w:tcPr>
          <w:p w:rsidR="00F155AD" w:rsidRPr="00F246EB" w:rsidRDefault="00F155AD" w:rsidP="005B58E2">
            <w:r w:rsidRPr="005B58E2">
              <w:t>ein gemeinsames Glaubensthema, wie z. B. Gottesbild, Fragen nach Leben, Tod und Erlösung, Schriftverständnis, religiöse Praxis</w:t>
            </w:r>
          </w:p>
        </w:tc>
        <w:tc>
          <w:tcPr>
            <w:tcW w:w="1862" w:type="pct"/>
            <w:shd w:val="clear" w:color="auto" w:fill="E7E6E6" w:themeFill="background2"/>
          </w:tcPr>
          <w:p w:rsidR="00F155AD" w:rsidRDefault="00F155AD" w:rsidP="005B58E2">
            <w:pPr>
              <w:rPr>
                <w:rFonts w:cs="Arial"/>
              </w:rPr>
            </w:pPr>
            <w:r>
              <w:rPr>
                <w:rFonts w:cs="Arial"/>
              </w:rPr>
              <w:t>S. 92/93: Sammlung gemeinsamer Themen in A3</w:t>
            </w:r>
          </w:p>
          <w:p w:rsidR="00F155AD" w:rsidRDefault="00F155AD" w:rsidP="005B58E2">
            <w:pPr>
              <w:rPr>
                <w:rFonts w:cs="Arial"/>
              </w:rPr>
            </w:pPr>
            <w:r>
              <w:rPr>
                <w:rFonts w:cs="Arial"/>
              </w:rPr>
              <w:t>S. 104/105: Gebet als gemeinsames Glaubensthema (religiöse Praxis), Vergleich, gemeinsames Gebet</w:t>
            </w:r>
          </w:p>
          <w:p w:rsidR="00F155AD" w:rsidRDefault="00F155AD" w:rsidP="005B58E2">
            <w:pPr>
              <w:rPr>
                <w:rFonts w:cs="Arial"/>
              </w:rPr>
            </w:pPr>
            <w:r>
              <w:rPr>
                <w:rFonts w:cs="Arial"/>
              </w:rPr>
              <w:t>S. 106/107: Feste und Feiern als gemeinsames Glaubensthema (religiöse Praxis), Vergleich, gemeinsame Feiern</w:t>
            </w:r>
          </w:p>
          <w:p w:rsidR="00F155AD" w:rsidRDefault="00F155AD" w:rsidP="005B58E2">
            <w:pPr>
              <w:rPr>
                <w:rFonts w:cs="Arial"/>
              </w:rPr>
            </w:pPr>
            <w:r>
              <w:rPr>
                <w:rFonts w:cs="Arial"/>
              </w:rPr>
              <w:t>S. 108/109: Leben, Tod und Erlösung als gemeinsames Glaubensthema, Vergleich</w:t>
            </w:r>
          </w:p>
          <w:p w:rsidR="00F155AD" w:rsidRPr="00242D43" w:rsidRDefault="00F155AD" w:rsidP="005B58E2">
            <w:pPr>
              <w:rPr>
                <w:rFonts w:cs="Arial"/>
              </w:rPr>
            </w:pPr>
            <w:r>
              <w:rPr>
                <w:rFonts w:cs="Arial"/>
              </w:rPr>
              <w:t>(S. 79, M4: Schriftverständnis)</w:t>
            </w:r>
          </w:p>
        </w:tc>
      </w:tr>
      <w:tr w:rsidR="00F155AD" w:rsidRPr="00FD6CEB" w:rsidTr="002437DB">
        <w:tc>
          <w:tcPr>
            <w:tcW w:w="218" w:type="pct"/>
            <w:shd w:val="clear" w:color="auto" w:fill="E7E6E6" w:themeFill="background2"/>
          </w:tcPr>
          <w:p w:rsidR="00F155AD" w:rsidRPr="00FD6CEB" w:rsidRDefault="00F155AD" w:rsidP="005B58E2">
            <w:pPr>
              <w:rPr>
                <w:rFonts w:cs="Arial"/>
                <w:b/>
                <w:bCs/>
              </w:rPr>
            </w:pPr>
            <w:r w:rsidRPr="00FD6CEB">
              <w:rPr>
                <w:rFonts w:cs="Arial"/>
                <w:b/>
                <w:bCs/>
              </w:rPr>
              <w:t>KE 4</w:t>
            </w:r>
          </w:p>
        </w:tc>
        <w:tc>
          <w:tcPr>
            <w:tcW w:w="1326" w:type="pct"/>
          </w:tcPr>
          <w:p w:rsidR="00F155AD" w:rsidRPr="001C5BBA" w:rsidRDefault="00F155AD" w:rsidP="005B58E2">
            <w:r w:rsidRPr="005B58E2">
              <w:t xml:space="preserve">beschreiben einen gesellschaftlich und politisch relevanten Konflikt, in dem sich Zusammenhänge zu Judentum, Christentum und Islam ergeben oder zumindest solche </w:t>
            </w:r>
            <w:r w:rsidRPr="005B58E2">
              <w:lastRenderedPageBreak/>
              <w:t>Zuschreibungen gemacht werden, analysieren dessen Hintergründe und nehmen begründet Stellung.</w:t>
            </w:r>
          </w:p>
        </w:tc>
        <w:tc>
          <w:tcPr>
            <w:tcW w:w="193" w:type="pct"/>
            <w:shd w:val="clear" w:color="auto" w:fill="E7E6E6" w:themeFill="background2"/>
          </w:tcPr>
          <w:p w:rsidR="00F155AD" w:rsidRPr="00CD234D" w:rsidRDefault="00F155AD" w:rsidP="005B58E2">
            <w:pPr>
              <w:rPr>
                <w:rFonts w:cs="Arial"/>
                <w:b/>
                <w:bCs/>
              </w:rPr>
            </w:pPr>
            <w:r>
              <w:rPr>
                <w:rFonts w:cs="Arial"/>
                <w:b/>
                <w:bCs/>
              </w:rPr>
              <w:lastRenderedPageBreak/>
              <w:t>IK 6</w:t>
            </w:r>
          </w:p>
        </w:tc>
        <w:tc>
          <w:tcPr>
            <w:tcW w:w="1401" w:type="pct"/>
          </w:tcPr>
          <w:p w:rsidR="00F155AD" w:rsidRPr="000720DD" w:rsidRDefault="00F155AD" w:rsidP="008D0CC7">
            <w:r w:rsidRPr="005B58E2">
              <w:t>ein aktueller Konflikt, z. B. im Zusammenhang mit Geschlechterrollen, Mitwirkung in der Demokratie, Einstellung zu Macht und Gewalt; Frage nach der religiösen Dimen</w:t>
            </w:r>
            <w:r w:rsidRPr="005B58E2">
              <w:lastRenderedPageBreak/>
              <w:t>sion, dazu soziale, politische und geschichtliche Hintergründe sowie ausgewählte Beiträge bzw. Meinungsäußerungen auch aus digitalen Medien; Ansätze eines gelingenden Miteinanders</w:t>
            </w:r>
          </w:p>
        </w:tc>
        <w:tc>
          <w:tcPr>
            <w:tcW w:w="1862" w:type="pct"/>
            <w:shd w:val="clear" w:color="auto" w:fill="E7E6E6" w:themeFill="background2"/>
          </w:tcPr>
          <w:p w:rsidR="00F155AD" w:rsidRDefault="00F155AD" w:rsidP="005B58E2">
            <w:pPr>
              <w:rPr>
                <w:rFonts w:cs="Arial"/>
              </w:rPr>
            </w:pPr>
            <w:r>
              <w:rPr>
                <w:rFonts w:cs="Arial"/>
              </w:rPr>
              <w:lastRenderedPageBreak/>
              <w:t>S. 99 A4b: Herausforderung für Toleranz-Entwürfe heute</w:t>
            </w:r>
          </w:p>
          <w:p w:rsidR="00F155AD" w:rsidRDefault="00F155AD" w:rsidP="005B58E2">
            <w:pPr>
              <w:rPr>
                <w:rFonts w:cs="Arial"/>
              </w:rPr>
            </w:pPr>
            <w:r>
              <w:rPr>
                <w:rFonts w:cs="Arial"/>
              </w:rPr>
              <w:t>S. 110/111: Konflikt: Geschlechterrollen</w:t>
            </w:r>
          </w:p>
          <w:p w:rsidR="00F155AD" w:rsidRDefault="00F155AD" w:rsidP="005B58E2">
            <w:pPr>
              <w:rPr>
                <w:rFonts w:cs="Arial"/>
              </w:rPr>
            </w:pPr>
            <w:r>
              <w:rPr>
                <w:rFonts w:cs="Arial"/>
              </w:rPr>
              <w:t>S. 112/113: Konflikt: Muezzinruf und Kirchturmglocken</w:t>
            </w:r>
          </w:p>
          <w:p w:rsidR="00F155AD" w:rsidRPr="00242D43" w:rsidRDefault="00F155AD" w:rsidP="005B58E2">
            <w:pPr>
              <w:rPr>
                <w:rFonts w:cs="Arial"/>
              </w:rPr>
            </w:pPr>
            <w:r>
              <w:rPr>
                <w:rFonts w:cs="Arial"/>
              </w:rPr>
              <w:t xml:space="preserve">S. 114/115: Konflikt: </w:t>
            </w:r>
            <w:proofErr w:type="spellStart"/>
            <w:r>
              <w:rPr>
                <w:rFonts w:cs="Arial"/>
              </w:rPr>
              <w:t>Abrahamsgrab</w:t>
            </w:r>
            <w:proofErr w:type="spellEnd"/>
            <w:r>
              <w:rPr>
                <w:rFonts w:cs="Arial"/>
              </w:rPr>
              <w:t xml:space="preserve"> in Hebron</w:t>
            </w:r>
          </w:p>
        </w:tc>
      </w:tr>
      <w:tr w:rsidR="00F155AD" w:rsidRPr="00FD6CEB" w:rsidTr="000720DD">
        <w:trPr>
          <w:trHeight w:val="660"/>
        </w:trPr>
        <w:tc>
          <w:tcPr>
            <w:tcW w:w="218" w:type="pct"/>
            <w:shd w:val="clear" w:color="auto" w:fill="E7E6E6" w:themeFill="background2"/>
          </w:tcPr>
          <w:p w:rsidR="00F155AD" w:rsidRPr="00FD6CEB" w:rsidRDefault="00F155AD" w:rsidP="005B58E2">
            <w:pPr>
              <w:rPr>
                <w:rFonts w:cs="Arial"/>
                <w:b/>
                <w:bCs/>
              </w:rPr>
            </w:pPr>
            <w:r>
              <w:rPr>
                <w:rFonts w:cs="Arial"/>
                <w:b/>
                <w:bCs/>
              </w:rPr>
              <w:t>KE 5</w:t>
            </w:r>
          </w:p>
        </w:tc>
        <w:tc>
          <w:tcPr>
            <w:tcW w:w="1326" w:type="pct"/>
            <w:tcBorders>
              <w:bottom w:val="single" w:sz="4" w:space="0" w:color="auto"/>
            </w:tcBorders>
          </w:tcPr>
          <w:p w:rsidR="00F155AD" w:rsidRPr="001C5BBA" w:rsidRDefault="00F155AD" w:rsidP="005B58E2">
            <w:r w:rsidRPr="005B58E2">
              <w:t>unterscheiden verschiedene Geltungs- und Wahrheitsansprüche von Religionen und setzen sie in Beziehung zu einem differenzierten Verständnis von Toleranz.</w:t>
            </w:r>
          </w:p>
        </w:tc>
        <w:tc>
          <w:tcPr>
            <w:tcW w:w="193" w:type="pct"/>
            <w:shd w:val="clear" w:color="auto" w:fill="E7E6E6" w:themeFill="background2"/>
          </w:tcPr>
          <w:p w:rsidR="00F155AD" w:rsidRPr="00CD234D" w:rsidRDefault="00F155AD" w:rsidP="005B58E2">
            <w:pPr>
              <w:rPr>
                <w:rFonts w:cs="Arial"/>
                <w:b/>
                <w:bCs/>
              </w:rPr>
            </w:pPr>
            <w:r>
              <w:rPr>
                <w:rFonts w:cs="Arial"/>
                <w:b/>
                <w:bCs/>
              </w:rPr>
              <w:t>IK 7</w:t>
            </w:r>
          </w:p>
        </w:tc>
        <w:tc>
          <w:tcPr>
            <w:tcW w:w="1401" w:type="pct"/>
          </w:tcPr>
          <w:p w:rsidR="00F155AD" w:rsidRPr="00F246EB" w:rsidRDefault="00F155AD" w:rsidP="005B58E2">
            <w:r w:rsidRPr="005B58E2">
              <w:t>Geltungs- und Wahrheitsansprüche von Religionen in ihrer Spannung zum Toleranzbegriff, z. B. exklusives, inklusives, pluralistisches Verständnis, Relativismus; Unterscheidung von Toleranz, Akzeptanz und Indifferenz; Grenzen von Toleranz</w:t>
            </w:r>
          </w:p>
        </w:tc>
        <w:tc>
          <w:tcPr>
            <w:tcW w:w="1862" w:type="pct"/>
            <w:shd w:val="clear" w:color="auto" w:fill="E7E6E6" w:themeFill="background2"/>
          </w:tcPr>
          <w:p w:rsidR="00F155AD" w:rsidRDefault="00F155AD" w:rsidP="005B58E2">
            <w:r>
              <w:t>S. 99 M3/A4: Verständnis von Toleranz</w:t>
            </w:r>
          </w:p>
          <w:p w:rsidR="00F155AD" w:rsidRPr="008D0CC7" w:rsidRDefault="00F155AD" w:rsidP="005B58E2">
            <w:r w:rsidRPr="008D0CC7">
              <w:t>S. 116/117: Verschiedene Geltungs- und Wahrheitsansprüche von Religionen (</w:t>
            </w:r>
            <w:proofErr w:type="spellStart"/>
            <w:r w:rsidRPr="008D0CC7">
              <w:t>Exklusivismus</w:t>
            </w:r>
            <w:proofErr w:type="spellEnd"/>
            <w:r w:rsidRPr="008D0CC7">
              <w:t xml:space="preserve">, </w:t>
            </w:r>
            <w:proofErr w:type="spellStart"/>
            <w:r w:rsidRPr="008D0CC7">
              <w:t>Inklusivismus</w:t>
            </w:r>
            <w:proofErr w:type="spellEnd"/>
            <w:r w:rsidRPr="008D0CC7">
              <w:t>, Pluralismus u. Relativismus; theozentrischer Pluralismus)</w:t>
            </w:r>
            <w:r>
              <w:t>; Toleranzbegriff</w:t>
            </w:r>
          </w:p>
          <w:p w:rsidR="00F155AD" w:rsidRDefault="00F155AD" w:rsidP="00CB37AA">
            <w:r w:rsidRPr="008D0CC7">
              <w:t>S. 118/119: Differenziertes Verständnis von Toleranz, Unterschiede zu Akzeptanz und Indifferenz, Grenzen der Toleranz</w:t>
            </w:r>
          </w:p>
          <w:p w:rsidR="00F155AD" w:rsidRPr="008D0CC7" w:rsidRDefault="00F155AD" w:rsidP="00F15BF1">
            <w:r>
              <w:t>(S. 16/17: Religiöse Toleranz im Kontext der Aufklärung)</w:t>
            </w:r>
          </w:p>
        </w:tc>
      </w:tr>
    </w:tbl>
    <w:p w:rsidR="00F155AD" w:rsidRDefault="00F155AD">
      <w:pPr>
        <w:spacing w:line="240" w:lineRule="auto"/>
        <w:rPr>
          <w:rFonts w:cs="Arial"/>
        </w:rPr>
      </w:pPr>
    </w:p>
    <w:p w:rsidR="00003558" w:rsidRDefault="00003558">
      <w:pPr>
        <w:spacing w:line="240" w:lineRule="auto"/>
        <w:rPr>
          <w:rFonts w:cs="Arial"/>
        </w:rPr>
      </w:pPr>
    </w:p>
    <w:sectPr w:rsidR="00003558" w:rsidSect="00F155AD">
      <w:headerReference w:type="default" r:id="rId8"/>
      <w:footerReference w:type="default" r:id="rId9"/>
      <w:pgSz w:w="16838" w:h="11906" w:orient="landscape" w:code="9"/>
      <w:pgMar w:top="1418" w:right="851" w:bottom="851"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626" w:rsidRDefault="00EE4626" w:rsidP="00C910D4">
      <w:pPr>
        <w:spacing w:line="240" w:lineRule="auto"/>
      </w:pPr>
      <w:r>
        <w:separator/>
      </w:r>
    </w:p>
  </w:endnote>
  <w:endnote w:type="continuationSeparator" w:id="0">
    <w:p w:rsidR="00EE4626" w:rsidRDefault="00EE4626" w:rsidP="00C910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CC2" w:rsidRPr="00C84732" w:rsidRDefault="00C24D3B" w:rsidP="00C24D3B">
    <w:pPr>
      <w:pStyle w:val="Fuzeile"/>
      <w:tabs>
        <w:tab w:val="clear" w:pos="4536"/>
        <w:tab w:val="clear" w:pos="9072"/>
        <w:tab w:val="right" w:pos="14034"/>
      </w:tabs>
      <w:spacing w:before="640" w:after="340"/>
      <w:rPr>
        <w:color w:val="auto"/>
        <w:sz w:val="18"/>
      </w:rPr>
    </w:pPr>
    <w:r>
      <w:rPr>
        <w:noProof/>
        <w:lang w:eastAsia="de-DE"/>
      </w:rPr>
      <mc:AlternateContent>
        <mc:Choice Requires="wps">
          <w:drawing>
            <wp:anchor distT="0" distB="0" distL="114300" distR="114300" simplePos="0" relativeHeight="251657728" behindDoc="0" locked="0" layoutInCell="1" allowOverlap="1">
              <wp:simplePos x="0" y="0"/>
              <wp:positionH relativeFrom="page">
                <wp:posOffset>0</wp:posOffset>
              </wp:positionH>
              <wp:positionV relativeFrom="paragraph">
                <wp:posOffset>169182</wp:posOffset>
              </wp:positionV>
              <wp:extent cx="10691495" cy="0"/>
              <wp:effectExtent l="0" t="0" r="14605"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9149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B238D0" id="_x0000_t32" coordsize="21600,21600" o:spt="32" o:oned="t" path="m,l21600,21600e" filled="f">
              <v:path arrowok="t" fillok="f" o:connecttype="none"/>
              <o:lock v:ext="edit" shapetype="t"/>
            </v:shapetype>
            <v:shape id="AutoShape 6" o:spid="_x0000_s1026" type="#_x0000_t32" style="position:absolute;margin-left:0;margin-top:13.3pt;width:841.85pt;height: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" strokecolor="#7f7f7f" strokeweight=".5pt">
              <w10:wrap anchorx="page"/>
            </v:shape>
          </w:pict>
        </mc:Fallback>
      </mc:AlternateContent>
    </w:r>
    <w:r>
      <w:rPr>
        <w:noProof/>
        <w:lang w:eastAsia="de-DE"/>
      </w:rPr>
      <w:drawing>
        <wp:anchor distT="0" distB="0" distL="114300" distR="114300" simplePos="0" relativeHeight="251656704" behindDoc="1" locked="0" layoutInCell="1" allowOverlap="1">
          <wp:simplePos x="0" y="0"/>
          <wp:positionH relativeFrom="margin">
            <wp:posOffset>9071610</wp:posOffset>
          </wp:positionH>
          <wp:positionV relativeFrom="paragraph">
            <wp:posOffset>166733</wp:posOffset>
          </wp:positionV>
          <wp:extent cx="539750" cy="531495"/>
          <wp:effectExtent l="0" t="0" r="0" b="1905"/>
          <wp:wrapNone/>
          <wp:docPr id="31" name="Bild 5" descr="ccb-logo-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b-logo-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3149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auto"/>
        <w:sz w:val="18"/>
      </w:rPr>
      <w:br/>
    </w:r>
    <w:r w:rsidR="001F0CC2" w:rsidRPr="00C84732">
      <w:rPr>
        <w:color w:val="auto"/>
        <w:sz w:val="18"/>
      </w:rPr>
      <w:t xml:space="preserve">Seite </w:t>
    </w:r>
    <w:r w:rsidR="001F0CC2" w:rsidRPr="00C84732">
      <w:rPr>
        <w:color w:val="auto"/>
        <w:sz w:val="18"/>
      </w:rPr>
      <w:fldChar w:fldCharType="begin"/>
    </w:r>
    <w:r w:rsidR="001F0CC2" w:rsidRPr="00C84732">
      <w:rPr>
        <w:color w:val="auto"/>
        <w:sz w:val="18"/>
      </w:rPr>
      <w:instrText>PAGE   \* MERGEFORMAT</w:instrText>
    </w:r>
    <w:r w:rsidR="001F0CC2" w:rsidRPr="00C84732">
      <w:rPr>
        <w:color w:val="auto"/>
        <w:sz w:val="18"/>
      </w:rPr>
      <w:fldChar w:fldCharType="separate"/>
    </w:r>
    <w:r w:rsidR="00845F4B">
      <w:rPr>
        <w:noProof/>
        <w:color w:val="auto"/>
        <w:sz w:val="18"/>
      </w:rPr>
      <w:t>5</w:t>
    </w:r>
    <w:r w:rsidR="001F0CC2" w:rsidRPr="00C84732">
      <w:rPr>
        <w:color w:val="auto"/>
        <w:sz w:val="18"/>
      </w:rPr>
      <w:fldChar w:fldCharType="end"/>
    </w:r>
    <w:r w:rsidR="001F0CC2" w:rsidRPr="00C84732">
      <w:rPr>
        <w:color w:val="auto"/>
        <w:sz w:val="18"/>
      </w:rPr>
      <w:tab/>
      <w:t>© C.C.Buchner Verlag, Bamberg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626" w:rsidRDefault="00EE4626" w:rsidP="00C910D4">
      <w:pPr>
        <w:spacing w:line="240" w:lineRule="auto"/>
      </w:pPr>
      <w:r>
        <w:separator/>
      </w:r>
    </w:p>
  </w:footnote>
  <w:footnote w:type="continuationSeparator" w:id="0">
    <w:p w:rsidR="00EE4626" w:rsidRDefault="00EE4626" w:rsidP="00C910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CC2" w:rsidRPr="0029527C" w:rsidRDefault="00DE0F82" w:rsidP="00084242">
    <w:pPr>
      <w:pStyle w:val="Kopfzeile"/>
      <w:tabs>
        <w:tab w:val="clear" w:pos="4536"/>
        <w:tab w:val="clear" w:pos="9072"/>
        <w:tab w:val="left" w:pos="6240"/>
        <w:tab w:val="right" w:pos="9070"/>
      </w:tabs>
      <w:rPr>
        <w:rFonts w:cs="Arial"/>
        <w:bCs/>
        <w:i/>
      </w:rPr>
    </w:pPr>
    <w:r w:rsidRPr="0029527C">
      <w:rPr>
        <w:bCs/>
        <w:noProof/>
        <w:lang w:eastAsia="de-DE"/>
      </w:rPr>
      <mc:AlternateContent>
        <mc:Choice Requires="wps">
          <w:drawing>
            <wp:anchor distT="0" distB="0" distL="114300" distR="114300" simplePos="0" relativeHeight="251658752" behindDoc="0" locked="0" layoutInCell="1" allowOverlap="1">
              <wp:simplePos x="0" y="0"/>
              <wp:positionH relativeFrom="page">
                <wp:posOffset>0</wp:posOffset>
              </wp:positionH>
              <wp:positionV relativeFrom="paragraph">
                <wp:posOffset>252095</wp:posOffset>
              </wp:positionV>
              <wp:extent cx="10692000" cy="0"/>
              <wp:effectExtent l="0" t="0" r="14605" b="190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9200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450903" id="_x0000_t32" coordsize="21600,21600" o:spt="32" o:oned="t" path="m,l21600,21600e" filled="f">
              <v:path arrowok="t" fillok="f" o:connecttype="none"/>
              <o:lock v:ext="edit" shapetype="t"/>
            </v:shapetype>
            <v:shape id="AutoShape 7" o:spid="_x0000_s1026" type="#_x0000_t32" style="position:absolute;margin-left:0;margin-top:19.85pt;width:841.9pt;height:0;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" strokecolor="#7f7f7f" strokeweight=".5pt">
              <w10:wrap anchorx="page"/>
            </v:shape>
          </w:pict>
        </mc:Fallback>
      </mc:AlternateContent>
    </w:r>
    <w:r w:rsidR="00287A0B">
      <w:rPr>
        <w:rFonts w:cs="Arial"/>
        <w:bCs/>
      </w:rPr>
      <w:t>Umsetzung des LehrplanPLUS in theo</w:t>
    </w:r>
    <w:r w:rsidR="00287A0B" w:rsidRPr="00287A0B">
      <w:rPr>
        <w:rFonts w:cs="Arial"/>
        <w:bCs/>
        <w:i/>
        <w:iCs/>
      </w:rPr>
      <w:t>logisch</w:t>
    </w:r>
    <w:r w:rsidR="00B55BB8">
      <w:rPr>
        <w:rFonts w:cs="Arial"/>
        <w:bCs/>
      </w:rPr>
      <w:t xml:space="preserve"> </w:t>
    </w:r>
    <w:r w:rsidR="00A6633E">
      <w:rPr>
        <w:rFonts w:cs="Arial"/>
        <w:bCs/>
      </w:rPr>
      <w:t>1</w:t>
    </w:r>
    <w:r w:rsidR="002C2889">
      <w:rPr>
        <w:rFonts w:cs="Arial"/>
        <w:bCs/>
      </w:rPr>
      <w:t>1</w:t>
    </w:r>
    <w:r w:rsidR="00A6633E">
      <w:rPr>
        <w:rFonts w:cs="Arial"/>
        <w:bCs/>
      </w:rPr>
      <w:t xml:space="preserve"> (7950</w:t>
    </w:r>
    <w:r w:rsidR="002C2889">
      <w:rPr>
        <w:rFonts w:cs="Arial"/>
        <w:bCs/>
      </w:rPr>
      <w:t>1</w:t>
    </w:r>
    <w:r w:rsidR="00A6633E">
      <w:rPr>
        <w:rFonts w:cs="Arial"/>
        <w:bCs/>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FC05B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C0D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2A40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86FC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8CC2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820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AC80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50A4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563A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8ABD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677ADB"/>
    <w:multiLevelType w:val="hybridMultilevel"/>
    <w:tmpl w:val="CB80A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115103B"/>
    <w:multiLevelType w:val="hybridMultilevel"/>
    <w:tmpl w:val="81306B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3141AB6"/>
    <w:multiLevelType w:val="hybridMultilevel"/>
    <w:tmpl w:val="E9EA6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4B80FE2"/>
    <w:multiLevelType w:val="hybridMultilevel"/>
    <w:tmpl w:val="E22089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FFC4235"/>
    <w:multiLevelType w:val="hybridMultilevel"/>
    <w:tmpl w:val="500A11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F83074"/>
    <w:multiLevelType w:val="hybridMultilevel"/>
    <w:tmpl w:val="42CC2076"/>
    <w:lvl w:ilvl="0" w:tplc="D9263E4C">
      <w:start w:val="1"/>
      <w:numFmt w:val="decimal"/>
      <w:lvlText w:val="%1."/>
      <w:lvlJc w:val="left"/>
      <w:pPr>
        <w:ind w:left="720" w:hanging="360"/>
      </w:pPr>
      <w:rPr>
        <w:rFonts w:ascii="Arial" w:eastAsia="Calibr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764709E"/>
    <w:multiLevelType w:val="hybridMultilevel"/>
    <w:tmpl w:val="44C218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77144FA"/>
    <w:multiLevelType w:val="hybridMultilevel"/>
    <w:tmpl w:val="C05E74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7DE23A4"/>
    <w:multiLevelType w:val="hybridMultilevel"/>
    <w:tmpl w:val="D1BCBFD0"/>
    <w:lvl w:ilvl="0" w:tplc="03645B16">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7FE7EAA"/>
    <w:multiLevelType w:val="hybridMultilevel"/>
    <w:tmpl w:val="EEC81264"/>
    <w:lvl w:ilvl="0" w:tplc="31E80234">
      <w:numFmt w:val="bullet"/>
      <w:lvlText w:val="-"/>
      <w:lvlJc w:val="left"/>
      <w:pPr>
        <w:tabs>
          <w:tab w:val="num" w:pos="720"/>
        </w:tabs>
        <w:ind w:left="720" w:hanging="360"/>
      </w:pPr>
      <w:rPr>
        <w:rFonts w:ascii="Arial" w:eastAsia="Calibri"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D22093"/>
    <w:multiLevelType w:val="hybridMultilevel"/>
    <w:tmpl w:val="C6F89A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9F13BD4"/>
    <w:multiLevelType w:val="hybridMultilevel"/>
    <w:tmpl w:val="D468275A"/>
    <w:lvl w:ilvl="0" w:tplc="9C38887A">
      <w:numFmt w:val="bullet"/>
      <w:pStyle w:val="Listenabsatz"/>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B9D546C"/>
    <w:multiLevelType w:val="hybridMultilevel"/>
    <w:tmpl w:val="1E4E1D7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D7D5074"/>
    <w:multiLevelType w:val="hybridMultilevel"/>
    <w:tmpl w:val="608EA2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F267F24"/>
    <w:multiLevelType w:val="hybridMultilevel"/>
    <w:tmpl w:val="9DCC29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02F3E9A"/>
    <w:multiLevelType w:val="hybridMultilevel"/>
    <w:tmpl w:val="A4D85A78"/>
    <w:lvl w:ilvl="0" w:tplc="F3BC1EA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1EA7633"/>
    <w:multiLevelType w:val="hybridMultilevel"/>
    <w:tmpl w:val="EE1AEF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2BD186B"/>
    <w:multiLevelType w:val="hybridMultilevel"/>
    <w:tmpl w:val="D0C827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37349EA"/>
    <w:multiLevelType w:val="hybridMultilevel"/>
    <w:tmpl w:val="CA164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3DC1A22"/>
    <w:multiLevelType w:val="hybridMultilevel"/>
    <w:tmpl w:val="70D65E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4E255C6"/>
    <w:multiLevelType w:val="hybridMultilevel"/>
    <w:tmpl w:val="06E0FCB0"/>
    <w:lvl w:ilvl="0" w:tplc="A12C9A6C">
      <w:start w:val="1"/>
      <w:numFmt w:val="decimal"/>
      <w:lvlText w:val="%1."/>
      <w:lvlJc w:val="left"/>
      <w:pPr>
        <w:ind w:left="720" w:hanging="360"/>
      </w:pPr>
      <w:rPr>
        <w:rFonts w:ascii="Arial" w:eastAsia="Calibr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4F239D8"/>
    <w:multiLevelType w:val="hybridMultilevel"/>
    <w:tmpl w:val="23BAFF6C"/>
    <w:lvl w:ilvl="0" w:tplc="3A121A74">
      <w:start w:val="1"/>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7D73B6F"/>
    <w:multiLevelType w:val="hybridMultilevel"/>
    <w:tmpl w:val="AD5C38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B8C04BF"/>
    <w:multiLevelType w:val="hybridMultilevel"/>
    <w:tmpl w:val="02A0105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243706"/>
    <w:multiLevelType w:val="hybridMultilevel"/>
    <w:tmpl w:val="504C0A9E"/>
    <w:lvl w:ilvl="0" w:tplc="2D28D8F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7AC28C2"/>
    <w:multiLevelType w:val="hybridMultilevel"/>
    <w:tmpl w:val="BCEADB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9F30288"/>
    <w:multiLevelType w:val="hybridMultilevel"/>
    <w:tmpl w:val="CFF0A7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148598B"/>
    <w:multiLevelType w:val="hybridMultilevel"/>
    <w:tmpl w:val="FA7CF1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27D2CFA"/>
    <w:multiLevelType w:val="hybridMultilevel"/>
    <w:tmpl w:val="659A1E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7766D1E"/>
    <w:multiLevelType w:val="hybridMultilevel"/>
    <w:tmpl w:val="859E8BE2"/>
    <w:lvl w:ilvl="0" w:tplc="A9909354">
      <w:start w:val="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A36784B"/>
    <w:multiLevelType w:val="hybridMultilevel"/>
    <w:tmpl w:val="4D68E8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CC108E9"/>
    <w:multiLevelType w:val="hybridMultilevel"/>
    <w:tmpl w:val="E312CC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FF13E49"/>
    <w:multiLevelType w:val="hybridMultilevel"/>
    <w:tmpl w:val="3F3C61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0D74244"/>
    <w:multiLevelType w:val="hybridMultilevel"/>
    <w:tmpl w:val="E94471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1022C22"/>
    <w:multiLevelType w:val="hybridMultilevel"/>
    <w:tmpl w:val="081421A2"/>
    <w:lvl w:ilvl="0" w:tplc="9A985414">
      <w:start w:val="2"/>
      <w:numFmt w:val="bullet"/>
      <w:lvlText w:val="-"/>
      <w:lvlJc w:val="left"/>
      <w:pPr>
        <w:ind w:left="1080" w:hanging="360"/>
      </w:pPr>
      <w:rPr>
        <w:rFonts w:ascii="Arial" w:eastAsia="Calibr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5" w15:restartNumberingAfterBreak="0">
    <w:nsid w:val="724C16FF"/>
    <w:multiLevelType w:val="hybridMultilevel"/>
    <w:tmpl w:val="E9808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3457AFC"/>
    <w:multiLevelType w:val="hybridMultilevel"/>
    <w:tmpl w:val="F78682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4867C72"/>
    <w:multiLevelType w:val="hybridMultilevel"/>
    <w:tmpl w:val="F69EA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7AF5608"/>
    <w:multiLevelType w:val="hybridMultilevel"/>
    <w:tmpl w:val="89481C56"/>
    <w:lvl w:ilvl="0" w:tplc="5AE6B0E8">
      <w:start w:val="1"/>
      <w:numFmt w:val="decimal"/>
      <w:pStyle w:val="NummerierteListe"/>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9"/>
  </w:num>
  <w:num w:numId="2">
    <w:abstractNumId w:val="1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1"/>
  </w:num>
  <w:num w:numId="14">
    <w:abstractNumId w:val="43"/>
  </w:num>
  <w:num w:numId="15">
    <w:abstractNumId w:val="48"/>
  </w:num>
  <w:num w:numId="16">
    <w:abstractNumId w:val="46"/>
  </w:num>
  <w:num w:numId="17">
    <w:abstractNumId w:val="48"/>
    <w:lvlOverride w:ilvl="0">
      <w:startOverride w:val="1"/>
    </w:lvlOverride>
  </w:num>
  <w:num w:numId="18">
    <w:abstractNumId w:val="14"/>
  </w:num>
  <w:num w:numId="19">
    <w:abstractNumId w:val="32"/>
  </w:num>
  <w:num w:numId="20">
    <w:abstractNumId w:val="27"/>
  </w:num>
  <w:num w:numId="21">
    <w:abstractNumId w:val="12"/>
  </w:num>
  <w:num w:numId="22">
    <w:abstractNumId w:val="28"/>
  </w:num>
  <w:num w:numId="23">
    <w:abstractNumId w:val="45"/>
  </w:num>
  <w:num w:numId="24">
    <w:abstractNumId w:val="29"/>
  </w:num>
  <w:num w:numId="25">
    <w:abstractNumId w:val="10"/>
  </w:num>
  <w:num w:numId="26">
    <w:abstractNumId w:val="16"/>
  </w:num>
  <w:num w:numId="27">
    <w:abstractNumId w:val="37"/>
  </w:num>
  <w:num w:numId="28">
    <w:abstractNumId w:val="38"/>
  </w:num>
  <w:num w:numId="29">
    <w:abstractNumId w:val="20"/>
  </w:num>
  <w:num w:numId="30">
    <w:abstractNumId w:val="17"/>
  </w:num>
  <w:num w:numId="31">
    <w:abstractNumId w:val="13"/>
  </w:num>
  <w:num w:numId="32">
    <w:abstractNumId w:val="41"/>
  </w:num>
  <w:num w:numId="33">
    <w:abstractNumId w:val="24"/>
  </w:num>
  <w:num w:numId="34">
    <w:abstractNumId w:val="47"/>
  </w:num>
  <w:num w:numId="35">
    <w:abstractNumId w:val="34"/>
  </w:num>
  <w:num w:numId="36">
    <w:abstractNumId w:val="39"/>
  </w:num>
  <w:num w:numId="37">
    <w:abstractNumId w:val="40"/>
  </w:num>
  <w:num w:numId="38">
    <w:abstractNumId w:val="23"/>
  </w:num>
  <w:num w:numId="39">
    <w:abstractNumId w:val="11"/>
  </w:num>
  <w:num w:numId="40">
    <w:abstractNumId w:val="30"/>
  </w:num>
  <w:num w:numId="41">
    <w:abstractNumId w:val="15"/>
  </w:num>
  <w:num w:numId="42">
    <w:abstractNumId w:val="36"/>
  </w:num>
  <w:num w:numId="43">
    <w:abstractNumId w:val="35"/>
  </w:num>
  <w:num w:numId="44">
    <w:abstractNumId w:val="25"/>
  </w:num>
  <w:num w:numId="45">
    <w:abstractNumId w:val="26"/>
  </w:num>
  <w:num w:numId="46">
    <w:abstractNumId w:val="33"/>
  </w:num>
  <w:num w:numId="47">
    <w:abstractNumId w:val="22"/>
  </w:num>
  <w:num w:numId="48">
    <w:abstractNumId w:val="44"/>
  </w:num>
  <w:num w:numId="49">
    <w:abstractNumId w:val="42"/>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53249" style="mso-position-horizontal:right;mso-width-relative:margin;mso-height-relative:margin"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954"/>
    <w:rsid w:val="00003558"/>
    <w:rsid w:val="0001151D"/>
    <w:rsid w:val="00021AA0"/>
    <w:rsid w:val="000339AD"/>
    <w:rsid w:val="0005448E"/>
    <w:rsid w:val="0007644D"/>
    <w:rsid w:val="0007727C"/>
    <w:rsid w:val="000779AD"/>
    <w:rsid w:val="00080280"/>
    <w:rsid w:val="00083819"/>
    <w:rsid w:val="00084242"/>
    <w:rsid w:val="000C59E7"/>
    <w:rsid w:val="00105E32"/>
    <w:rsid w:val="00131942"/>
    <w:rsid w:val="00135A83"/>
    <w:rsid w:val="001402C8"/>
    <w:rsid w:val="00141ACE"/>
    <w:rsid w:val="00156916"/>
    <w:rsid w:val="001635D1"/>
    <w:rsid w:val="00171C87"/>
    <w:rsid w:val="00185A41"/>
    <w:rsid w:val="00187576"/>
    <w:rsid w:val="001A000C"/>
    <w:rsid w:val="001A13CB"/>
    <w:rsid w:val="001A613B"/>
    <w:rsid w:val="001A71F0"/>
    <w:rsid w:val="001D4A4C"/>
    <w:rsid w:val="001D5E9E"/>
    <w:rsid w:val="001E06A3"/>
    <w:rsid w:val="001E157E"/>
    <w:rsid w:val="001E4256"/>
    <w:rsid w:val="001F0CC2"/>
    <w:rsid w:val="001F7627"/>
    <w:rsid w:val="0020457C"/>
    <w:rsid w:val="00206212"/>
    <w:rsid w:val="00210B47"/>
    <w:rsid w:val="00224D0A"/>
    <w:rsid w:val="00234F72"/>
    <w:rsid w:val="00242D43"/>
    <w:rsid w:val="002437DB"/>
    <w:rsid w:val="00245313"/>
    <w:rsid w:val="00252196"/>
    <w:rsid w:val="00256F0E"/>
    <w:rsid w:val="00267BE4"/>
    <w:rsid w:val="00276C68"/>
    <w:rsid w:val="0028318D"/>
    <w:rsid w:val="00283211"/>
    <w:rsid w:val="00287A0B"/>
    <w:rsid w:val="002932BF"/>
    <w:rsid w:val="0029527C"/>
    <w:rsid w:val="002A5115"/>
    <w:rsid w:val="002B3FA6"/>
    <w:rsid w:val="002B6286"/>
    <w:rsid w:val="002C2889"/>
    <w:rsid w:val="002C42FE"/>
    <w:rsid w:val="002C56DC"/>
    <w:rsid w:val="002C5BC9"/>
    <w:rsid w:val="002D2FA6"/>
    <w:rsid w:val="002D65EF"/>
    <w:rsid w:val="00305B47"/>
    <w:rsid w:val="00311F96"/>
    <w:rsid w:val="00324198"/>
    <w:rsid w:val="0033008B"/>
    <w:rsid w:val="00332F30"/>
    <w:rsid w:val="00335F5C"/>
    <w:rsid w:val="00336BAE"/>
    <w:rsid w:val="003375DD"/>
    <w:rsid w:val="003566B4"/>
    <w:rsid w:val="00374F5C"/>
    <w:rsid w:val="00375538"/>
    <w:rsid w:val="00375848"/>
    <w:rsid w:val="00375989"/>
    <w:rsid w:val="0038141A"/>
    <w:rsid w:val="003863E7"/>
    <w:rsid w:val="00390FB7"/>
    <w:rsid w:val="00392CDF"/>
    <w:rsid w:val="00393BDA"/>
    <w:rsid w:val="003A5E0A"/>
    <w:rsid w:val="003B24D6"/>
    <w:rsid w:val="003B52F7"/>
    <w:rsid w:val="003C2FCF"/>
    <w:rsid w:val="003C4B52"/>
    <w:rsid w:val="003C6703"/>
    <w:rsid w:val="003E23F7"/>
    <w:rsid w:val="003E39DA"/>
    <w:rsid w:val="00401530"/>
    <w:rsid w:val="00407488"/>
    <w:rsid w:val="0041209E"/>
    <w:rsid w:val="00413B6D"/>
    <w:rsid w:val="0041541A"/>
    <w:rsid w:val="004163A9"/>
    <w:rsid w:val="00420B8E"/>
    <w:rsid w:val="00425880"/>
    <w:rsid w:val="004330F2"/>
    <w:rsid w:val="00434110"/>
    <w:rsid w:val="0044038B"/>
    <w:rsid w:val="00440B9A"/>
    <w:rsid w:val="00466BBE"/>
    <w:rsid w:val="004711E6"/>
    <w:rsid w:val="00480377"/>
    <w:rsid w:val="00492492"/>
    <w:rsid w:val="0049690B"/>
    <w:rsid w:val="004A7AD1"/>
    <w:rsid w:val="004B416D"/>
    <w:rsid w:val="004B782C"/>
    <w:rsid w:val="004C1206"/>
    <w:rsid w:val="004C56DD"/>
    <w:rsid w:val="004C7E9D"/>
    <w:rsid w:val="004F4BF1"/>
    <w:rsid w:val="004F6DB4"/>
    <w:rsid w:val="00506088"/>
    <w:rsid w:val="00513D5D"/>
    <w:rsid w:val="00514CA3"/>
    <w:rsid w:val="00523515"/>
    <w:rsid w:val="00527AA9"/>
    <w:rsid w:val="0053466F"/>
    <w:rsid w:val="00541907"/>
    <w:rsid w:val="005469CA"/>
    <w:rsid w:val="00553B5B"/>
    <w:rsid w:val="00560FB5"/>
    <w:rsid w:val="00572360"/>
    <w:rsid w:val="0058043B"/>
    <w:rsid w:val="005B5709"/>
    <w:rsid w:val="005D1B94"/>
    <w:rsid w:val="005D564F"/>
    <w:rsid w:val="005D7352"/>
    <w:rsid w:val="005E1917"/>
    <w:rsid w:val="005E785B"/>
    <w:rsid w:val="005F5798"/>
    <w:rsid w:val="005F61E5"/>
    <w:rsid w:val="006042A8"/>
    <w:rsid w:val="00610C10"/>
    <w:rsid w:val="00621F6C"/>
    <w:rsid w:val="00622DF5"/>
    <w:rsid w:val="00622FD8"/>
    <w:rsid w:val="006376C3"/>
    <w:rsid w:val="0064774D"/>
    <w:rsid w:val="00662CF4"/>
    <w:rsid w:val="006843B7"/>
    <w:rsid w:val="00694644"/>
    <w:rsid w:val="006A7490"/>
    <w:rsid w:val="006A77A2"/>
    <w:rsid w:val="006B1D0E"/>
    <w:rsid w:val="006B2D84"/>
    <w:rsid w:val="006B7826"/>
    <w:rsid w:val="006C240B"/>
    <w:rsid w:val="006C6373"/>
    <w:rsid w:val="006E1CDF"/>
    <w:rsid w:val="006E3986"/>
    <w:rsid w:val="006F2A4D"/>
    <w:rsid w:val="006F6780"/>
    <w:rsid w:val="00700527"/>
    <w:rsid w:val="0070128A"/>
    <w:rsid w:val="00701FB9"/>
    <w:rsid w:val="00711506"/>
    <w:rsid w:val="0071342D"/>
    <w:rsid w:val="00721ACF"/>
    <w:rsid w:val="00722D80"/>
    <w:rsid w:val="00731FA1"/>
    <w:rsid w:val="00737E14"/>
    <w:rsid w:val="007446A0"/>
    <w:rsid w:val="00744A20"/>
    <w:rsid w:val="00747547"/>
    <w:rsid w:val="0075048F"/>
    <w:rsid w:val="00754392"/>
    <w:rsid w:val="007562E0"/>
    <w:rsid w:val="00762BCB"/>
    <w:rsid w:val="00763805"/>
    <w:rsid w:val="00772A24"/>
    <w:rsid w:val="00783757"/>
    <w:rsid w:val="00791231"/>
    <w:rsid w:val="0079464D"/>
    <w:rsid w:val="007B0F28"/>
    <w:rsid w:val="007B5E1A"/>
    <w:rsid w:val="007C21A1"/>
    <w:rsid w:val="007C3D12"/>
    <w:rsid w:val="007C6D2F"/>
    <w:rsid w:val="007D688D"/>
    <w:rsid w:val="007D7C2E"/>
    <w:rsid w:val="007E192F"/>
    <w:rsid w:val="007E50ED"/>
    <w:rsid w:val="007E66D8"/>
    <w:rsid w:val="007F3FD8"/>
    <w:rsid w:val="007F5D9A"/>
    <w:rsid w:val="007F6158"/>
    <w:rsid w:val="008032A8"/>
    <w:rsid w:val="00803D99"/>
    <w:rsid w:val="00812B0B"/>
    <w:rsid w:val="00816011"/>
    <w:rsid w:val="0082608F"/>
    <w:rsid w:val="00830072"/>
    <w:rsid w:val="0083084B"/>
    <w:rsid w:val="00832F0E"/>
    <w:rsid w:val="00845F4B"/>
    <w:rsid w:val="0085295D"/>
    <w:rsid w:val="00853637"/>
    <w:rsid w:val="00862F7F"/>
    <w:rsid w:val="00874634"/>
    <w:rsid w:val="0087478E"/>
    <w:rsid w:val="00882544"/>
    <w:rsid w:val="008868EB"/>
    <w:rsid w:val="00894044"/>
    <w:rsid w:val="008A360C"/>
    <w:rsid w:val="008B4376"/>
    <w:rsid w:val="008B5CCC"/>
    <w:rsid w:val="008C19EF"/>
    <w:rsid w:val="008C1DDD"/>
    <w:rsid w:val="008C59CE"/>
    <w:rsid w:val="008E6833"/>
    <w:rsid w:val="008F5379"/>
    <w:rsid w:val="008F7148"/>
    <w:rsid w:val="0090158A"/>
    <w:rsid w:val="00916B9A"/>
    <w:rsid w:val="00932077"/>
    <w:rsid w:val="00933B2C"/>
    <w:rsid w:val="00941B0D"/>
    <w:rsid w:val="0094691A"/>
    <w:rsid w:val="009502D7"/>
    <w:rsid w:val="00960456"/>
    <w:rsid w:val="009618E5"/>
    <w:rsid w:val="00973A75"/>
    <w:rsid w:val="00973CB5"/>
    <w:rsid w:val="00976CD6"/>
    <w:rsid w:val="00977553"/>
    <w:rsid w:val="009946EE"/>
    <w:rsid w:val="009B3B04"/>
    <w:rsid w:val="009D4F29"/>
    <w:rsid w:val="009E06A3"/>
    <w:rsid w:val="009E10BC"/>
    <w:rsid w:val="009E138F"/>
    <w:rsid w:val="00A058EA"/>
    <w:rsid w:val="00A353E3"/>
    <w:rsid w:val="00A35B3F"/>
    <w:rsid w:val="00A41528"/>
    <w:rsid w:val="00A43230"/>
    <w:rsid w:val="00A6633E"/>
    <w:rsid w:val="00A66811"/>
    <w:rsid w:val="00A77767"/>
    <w:rsid w:val="00A94559"/>
    <w:rsid w:val="00AA1CE6"/>
    <w:rsid w:val="00AA77FD"/>
    <w:rsid w:val="00AC1954"/>
    <w:rsid w:val="00AC5A99"/>
    <w:rsid w:val="00AC6DC3"/>
    <w:rsid w:val="00AD37E8"/>
    <w:rsid w:val="00AE05B7"/>
    <w:rsid w:val="00AE0690"/>
    <w:rsid w:val="00AF6FBA"/>
    <w:rsid w:val="00B02CF8"/>
    <w:rsid w:val="00B06DCA"/>
    <w:rsid w:val="00B100C9"/>
    <w:rsid w:val="00B16552"/>
    <w:rsid w:val="00B212F0"/>
    <w:rsid w:val="00B25BD3"/>
    <w:rsid w:val="00B33944"/>
    <w:rsid w:val="00B464A3"/>
    <w:rsid w:val="00B5512F"/>
    <w:rsid w:val="00B55BB8"/>
    <w:rsid w:val="00B66BC8"/>
    <w:rsid w:val="00B91727"/>
    <w:rsid w:val="00BA330C"/>
    <w:rsid w:val="00BA670A"/>
    <w:rsid w:val="00BB0B15"/>
    <w:rsid w:val="00BC4C78"/>
    <w:rsid w:val="00BD0489"/>
    <w:rsid w:val="00BD3203"/>
    <w:rsid w:val="00BE3C63"/>
    <w:rsid w:val="00BE73F8"/>
    <w:rsid w:val="00BF4196"/>
    <w:rsid w:val="00C22E2C"/>
    <w:rsid w:val="00C24D3B"/>
    <w:rsid w:val="00C30425"/>
    <w:rsid w:val="00C3186F"/>
    <w:rsid w:val="00C45869"/>
    <w:rsid w:val="00C479AE"/>
    <w:rsid w:val="00C52930"/>
    <w:rsid w:val="00C5355F"/>
    <w:rsid w:val="00C61B8B"/>
    <w:rsid w:val="00C633E2"/>
    <w:rsid w:val="00C65ED2"/>
    <w:rsid w:val="00C66E49"/>
    <w:rsid w:val="00C72F26"/>
    <w:rsid w:val="00C7446D"/>
    <w:rsid w:val="00C753F1"/>
    <w:rsid w:val="00C82374"/>
    <w:rsid w:val="00C84732"/>
    <w:rsid w:val="00C84CCD"/>
    <w:rsid w:val="00C86220"/>
    <w:rsid w:val="00C910D4"/>
    <w:rsid w:val="00C9772E"/>
    <w:rsid w:val="00CA378E"/>
    <w:rsid w:val="00CA5379"/>
    <w:rsid w:val="00CB541D"/>
    <w:rsid w:val="00CC3375"/>
    <w:rsid w:val="00CC5CF4"/>
    <w:rsid w:val="00CC5D40"/>
    <w:rsid w:val="00CD10B4"/>
    <w:rsid w:val="00CD1F9B"/>
    <w:rsid w:val="00CD6CBB"/>
    <w:rsid w:val="00CD7FDD"/>
    <w:rsid w:val="00CE34D7"/>
    <w:rsid w:val="00CE56D5"/>
    <w:rsid w:val="00CE7C5A"/>
    <w:rsid w:val="00CF494E"/>
    <w:rsid w:val="00CF51DD"/>
    <w:rsid w:val="00D00619"/>
    <w:rsid w:val="00D020F5"/>
    <w:rsid w:val="00D0524E"/>
    <w:rsid w:val="00D077A4"/>
    <w:rsid w:val="00D10708"/>
    <w:rsid w:val="00D13CE3"/>
    <w:rsid w:val="00D16DC4"/>
    <w:rsid w:val="00D2428F"/>
    <w:rsid w:val="00D30EAD"/>
    <w:rsid w:val="00D40AA5"/>
    <w:rsid w:val="00D43560"/>
    <w:rsid w:val="00D5038D"/>
    <w:rsid w:val="00D570F3"/>
    <w:rsid w:val="00D6135D"/>
    <w:rsid w:val="00D62E1A"/>
    <w:rsid w:val="00D7547F"/>
    <w:rsid w:val="00D77A85"/>
    <w:rsid w:val="00D8449E"/>
    <w:rsid w:val="00D85DAB"/>
    <w:rsid w:val="00D95A02"/>
    <w:rsid w:val="00DA0188"/>
    <w:rsid w:val="00DA2648"/>
    <w:rsid w:val="00DA776E"/>
    <w:rsid w:val="00DA7973"/>
    <w:rsid w:val="00DB05ED"/>
    <w:rsid w:val="00DB219D"/>
    <w:rsid w:val="00DB4014"/>
    <w:rsid w:val="00DB6EAF"/>
    <w:rsid w:val="00DC61C0"/>
    <w:rsid w:val="00DE0F82"/>
    <w:rsid w:val="00DE301F"/>
    <w:rsid w:val="00DE52B3"/>
    <w:rsid w:val="00DF7B44"/>
    <w:rsid w:val="00E027FA"/>
    <w:rsid w:val="00E11DAA"/>
    <w:rsid w:val="00E14B16"/>
    <w:rsid w:val="00E169A5"/>
    <w:rsid w:val="00E22E08"/>
    <w:rsid w:val="00E33FE1"/>
    <w:rsid w:val="00E450FF"/>
    <w:rsid w:val="00E46F6C"/>
    <w:rsid w:val="00E5077F"/>
    <w:rsid w:val="00E54782"/>
    <w:rsid w:val="00E55843"/>
    <w:rsid w:val="00E6234B"/>
    <w:rsid w:val="00E63AEA"/>
    <w:rsid w:val="00E8201A"/>
    <w:rsid w:val="00E83136"/>
    <w:rsid w:val="00E90E80"/>
    <w:rsid w:val="00EA557E"/>
    <w:rsid w:val="00EA698C"/>
    <w:rsid w:val="00EA6D71"/>
    <w:rsid w:val="00EB022C"/>
    <w:rsid w:val="00EB3BD1"/>
    <w:rsid w:val="00EB742D"/>
    <w:rsid w:val="00EC170E"/>
    <w:rsid w:val="00EC3084"/>
    <w:rsid w:val="00EC604C"/>
    <w:rsid w:val="00ED34CF"/>
    <w:rsid w:val="00ED6379"/>
    <w:rsid w:val="00EE0B94"/>
    <w:rsid w:val="00EE4626"/>
    <w:rsid w:val="00EE6FFB"/>
    <w:rsid w:val="00F13410"/>
    <w:rsid w:val="00F155AD"/>
    <w:rsid w:val="00F20892"/>
    <w:rsid w:val="00F21988"/>
    <w:rsid w:val="00F21C14"/>
    <w:rsid w:val="00F33A23"/>
    <w:rsid w:val="00F44325"/>
    <w:rsid w:val="00F51AFB"/>
    <w:rsid w:val="00F52753"/>
    <w:rsid w:val="00F74AD5"/>
    <w:rsid w:val="00F8327A"/>
    <w:rsid w:val="00F858FF"/>
    <w:rsid w:val="00F91175"/>
    <w:rsid w:val="00F9298F"/>
    <w:rsid w:val="00FB0B34"/>
    <w:rsid w:val="00FB2558"/>
    <w:rsid w:val="00FB2806"/>
    <w:rsid w:val="00FB3BCF"/>
    <w:rsid w:val="00FB4AF0"/>
    <w:rsid w:val="00FC4666"/>
    <w:rsid w:val="00FC58A4"/>
    <w:rsid w:val="00FD1F5F"/>
    <w:rsid w:val="00FE3B02"/>
    <w:rsid w:val="00FE6321"/>
    <w:rsid w:val="00FF47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style="mso-position-horizontal:right;mso-width-relative:margin;mso-height-relative:margin" fill="f" fillcolor="white" stroke="f">
      <v:fill color="white" on="f"/>
      <v:stroke on="f"/>
      <v:textbox inset="0,0,0,0"/>
    </o:shapedefaults>
    <o:shapelayout v:ext="edit">
      <o:idmap v:ext="edit" data="1"/>
    </o:shapelayout>
  </w:shapeDefaults>
  <w:decimalSymbol w:val=","/>
  <w:listSeparator w:val=";"/>
  <w14:docId w14:val="0DC6E79C"/>
  <w15:chartTrackingRefBased/>
  <w15:docId w15:val="{30063496-6AF2-4D3B-9B93-73B5697D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33E"/>
    <w:pPr>
      <w:spacing w:line="276" w:lineRule="auto"/>
    </w:pPr>
    <w:rPr>
      <w:rFonts w:ascii="Arial" w:hAnsi="Arial"/>
      <w:szCs w:val="22"/>
      <w:lang w:eastAsia="en-US"/>
    </w:rPr>
  </w:style>
  <w:style w:type="paragraph" w:styleId="berschrift1">
    <w:name w:val="heading 1"/>
    <w:basedOn w:val="Standard"/>
    <w:next w:val="Standard"/>
    <w:link w:val="berschrift1Zchn"/>
    <w:uiPriority w:val="9"/>
    <w:qFormat/>
    <w:rsid w:val="00D7547F"/>
    <w:pPr>
      <w:spacing w:before="120" w:after="120"/>
      <w:outlineLvl w:val="0"/>
    </w:pPr>
    <w:rPr>
      <w:rFonts w:cs="Arial"/>
      <w:b/>
      <w:bCs/>
    </w:rPr>
  </w:style>
  <w:style w:type="paragraph" w:styleId="berschrift2">
    <w:name w:val="heading 2"/>
    <w:basedOn w:val="Standard"/>
    <w:next w:val="Standard"/>
    <w:link w:val="berschrift2Zchn"/>
    <w:uiPriority w:val="9"/>
    <w:qFormat/>
    <w:rsid w:val="00F44325"/>
    <w:pPr>
      <w:keepNext/>
      <w:spacing w:before="480"/>
      <w:outlineLvl w:val="1"/>
    </w:pPr>
    <w:rPr>
      <w:rFonts w:eastAsia="Times New Roman"/>
      <w:bCs/>
      <w:iCs/>
      <w:sz w:val="32"/>
      <w:szCs w:val="28"/>
    </w:rPr>
  </w:style>
  <w:style w:type="paragraph" w:styleId="berschrift3">
    <w:name w:val="heading 3"/>
    <w:basedOn w:val="Standard"/>
    <w:next w:val="Standard"/>
    <w:link w:val="berschrift3Zchn"/>
    <w:uiPriority w:val="9"/>
    <w:semiHidden/>
    <w:unhideWhenUsed/>
    <w:qFormat/>
    <w:rsid w:val="00A6633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910D4"/>
    <w:pPr>
      <w:tabs>
        <w:tab w:val="center" w:pos="4536"/>
        <w:tab w:val="right" w:pos="9072"/>
      </w:tabs>
    </w:pPr>
  </w:style>
  <w:style w:type="character" w:customStyle="1" w:styleId="KopfzeileZchn">
    <w:name w:val="Kopfzeile Zchn"/>
    <w:link w:val="Kopfzeile"/>
    <w:uiPriority w:val="99"/>
    <w:rsid w:val="00C910D4"/>
    <w:rPr>
      <w:sz w:val="22"/>
      <w:szCs w:val="22"/>
      <w:lang w:eastAsia="en-US"/>
    </w:rPr>
  </w:style>
  <w:style w:type="paragraph" w:styleId="Fuzeile">
    <w:name w:val="footer"/>
    <w:basedOn w:val="Standard"/>
    <w:link w:val="FuzeileZchn"/>
    <w:uiPriority w:val="99"/>
    <w:unhideWhenUsed/>
    <w:rsid w:val="00C45869"/>
    <w:pPr>
      <w:tabs>
        <w:tab w:val="center" w:pos="4536"/>
        <w:tab w:val="right" w:pos="9072"/>
      </w:tabs>
    </w:pPr>
    <w:rPr>
      <w:color w:val="FFFFFF"/>
      <w:sz w:val="16"/>
    </w:rPr>
  </w:style>
  <w:style w:type="character" w:customStyle="1" w:styleId="FuzeileZchn">
    <w:name w:val="Fußzeile Zchn"/>
    <w:link w:val="Fuzeile"/>
    <w:uiPriority w:val="99"/>
    <w:rsid w:val="00C45869"/>
    <w:rPr>
      <w:rFonts w:ascii="Arial" w:hAnsi="Arial"/>
      <w:color w:val="FFFFFF"/>
      <w:sz w:val="16"/>
      <w:szCs w:val="22"/>
      <w:lang w:eastAsia="en-US"/>
    </w:rPr>
  </w:style>
  <w:style w:type="paragraph" w:styleId="Sprechblasentext">
    <w:name w:val="Balloon Text"/>
    <w:basedOn w:val="Standard"/>
    <w:link w:val="SprechblasentextZchn"/>
    <w:uiPriority w:val="99"/>
    <w:semiHidden/>
    <w:unhideWhenUsed/>
    <w:rsid w:val="0058043B"/>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58043B"/>
    <w:rPr>
      <w:rFonts w:ascii="Tahoma" w:hAnsi="Tahoma" w:cs="Tahoma"/>
      <w:sz w:val="16"/>
      <w:szCs w:val="16"/>
      <w:lang w:eastAsia="en-US"/>
    </w:rPr>
  </w:style>
  <w:style w:type="character" w:styleId="Zeilennummer">
    <w:name w:val="line number"/>
    <w:uiPriority w:val="99"/>
    <w:unhideWhenUsed/>
    <w:rsid w:val="00D40AA5"/>
    <w:rPr>
      <w:rFonts w:ascii="Arial" w:hAnsi="Arial"/>
      <w:color w:val="BFBFBF"/>
      <w:sz w:val="16"/>
    </w:rPr>
  </w:style>
  <w:style w:type="paragraph" w:styleId="Titel">
    <w:name w:val="Title"/>
    <w:basedOn w:val="Standard"/>
    <w:next w:val="Standard"/>
    <w:link w:val="TitelZchn"/>
    <w:uiPriority w:val="10"/>
    <w:qFormat/>
    <w:rsid w:val="007C3D12"/>
    <w:pPr>
      <w:outlineLvl w:val="0"/>
    </w:pPr>
    <w:rPr>
      <w:rFonts w:eastAsia="Times New Roman"/>
      <w:b/>
      <w:bCs/>
      <w:kern w:val="28"/>
      <w:sz w:val="36"/>
      <w:szCs w:val="32"/>
    </w:rPr>
  </w:style>
  <w:style w:type="character" w:customStyle="1" w:styleId="TitelZchn">
    <w:name w:val="Titel Zchn"/>
    <w:link w:val="Titel"/>
    <w:uiPriority w:val="10"/>
    <w:rsid w:val="007C3D12"/>
    <w:rPr>
      <w:rFonts w:ascii="Arial" w:eastAsia="Times New Roman" w:hAnsi="Arial" w:cs="Times New Roman"/>
      <w:b/>
      <w:bCs/>
      <w:kern w:val="28"/>
      <w:sz w:val="36"/>
      <w:szCs w:val="32"/>
      <w:lang w:eastAsia="en-US"/>
    </w:rPr>
  </w:style>
  <w:style w:type="character" w:customStyle="1" w:styleId="berschrift1Zchn">
    <w:name w:val="Überschrift 1 Zchn"/>
    <w:link w:val="berschrift1"/>
    <w:uiPriority w:val="9"/>
    <w:rsid w:val="00D7547F"/>
    <w:rPr>
      <w:rFonts w:ascii="Arial" w:hAnsi="Arial" w:cs="Arial"/>
      <w:b/>
      <w:bCs/>
      <w:szCs w:val="22"/>
      <w:lang w:eastAsia="en-US"/>
    </w:rPr>
  </w:style>
  <w:style w:type="character" w:customStyle="1" w:styleId="berschrift2Zchn">
    <w:name w:val="Überschrift 2 Zchn"/>
    <w:link w:val="berschrift2"/>
    <w:uiPriority w:val="9"/>
    <w:rsid w:val="00F44325"/>
    <w:rPr>
      <w:rFonts w:ascii="Arial" w:eastAsia="Times New Roman" w:hAnsi="Arial" w:cs="Times New Roman"/>
      <w:bCs/>
      <w:iCs/>
      <w:sz w:val="32"/>
      <w:szCs w:val="28"/>
      <w:lang w:eastAsia="en-US"/>
    </w:rPr>
  </w:style>
  <w:style w:type="paragraph" w:styleId="Listenabsatz">
    <w:name w:val="List Paragraph"/>
    <w:basedOn w:val="Standard"/>
    <w:uiPriority w:val="34"/>
    <w:qFormat/>
    <w:rsid w:val="00F44325"/>
    <w:pPr>
      <w:numPr>
        <w:numId w:val="13"/>
      </w:numPr>
      <w:spacing w:after="120"/>
      <w:ind w:left="568" w:hanging="284"/>
    </w:pPr>
  </w:style>
  <w:style w:type="paragraph" w:styleId="Zitat">
    <w:name w:val="Quote"/>
    <w:basedOn w:val="Standard"/>
    <w:next w:val="Standard"/>
    <w:link w:val="ZitatZchn"/>
    <w:uiPriority w:val="29"/>
    <w:qFormat/>
    <w:rsid w:val="008B4376"/>
    <w:rPr>
      <w:i/>
      <w:iCs/>
      <w:color w:val="000000"/>
    </w:rPr>
  </w:style>
  <w:style w:type="character" w:customStyle="1" w:styleId="ZitatZchn">
    <w:name w:val="Zitat Zchn"/>
    <w:link w:val="Zitat"/>
    <w:uiPriority w:val="29"/>
    <w:rsid w:val="008B4376"/>
    <w:rPr>
      <w:rFonts w:ascii="Arial" w:hAnsi="Arial"/>
      <w:i/>
      <w:iCs/>
      <w:color w:val="000000"/>
      <w:sz w:val="22"/>
      <w:szCs w:val="22"/>
      <w:lang w:eastAsia="en-US"/>
    </w:rPr>
  </w:style>
  <w:style w:type="paragraph" w:customStyle="1" w:styleId="NummerierteListe">
    <w:name w:val="Nummerierte Liste"/>
    <w:basedOn w:val="Standard"/>
    <w:qFormat/>
    <w:rsid w:val="008B4376"/>
    <w:pPr>
      <w:numPr>
        <w:numId w:val="15"/>
      </w:numPr>
      <w:spacing w:after="120"/>
      <w:ind w:left="568" w:hanging="284"/>
    </w:pPr>
  </w:style>
  <w:style w:type="paragraph" w:customStyle="1" w:styleId="Quellenangabe">
    <w:name w:val="Quellenangabe"/>
    <w:basedOn w:val="Standard"/>
    <w:qFormat/>
    <w:rsid w:val="00874634"/>
    <w:pPr>
      <w:pBdr>
        <w:top w:val="single" w:sz="4" w:space="1" w:color="808080"/>
      </w:pBdr>
      <w:spacing w:before="120" w:after="480" w:line="360" w:lineRule="auto"/>
    </w:pPr>
    <w:rPr>
      <w:rFonts w:cs="Arial"/>
      <w:i/>
      <w:sz w:val="18"/>
    </w:rPr>
  </w:style>
  <w:style w:type="paragraph" w:customStyle="1" w:styleId="Aufgaben">
    <w:name w:val="Aufgaben"/>
    <w:basedOn w:val="Standard"/>
    <w:rsid w:val="00874634"/>
    <w:pPr>
      <w:pBdr>
        <w:top w:val="single" w:sz="4" w:space="10" w:color="808080"/>
        <w:left w:val="single" w:sz="4" w:space="10" w:color="808080"/>
        <w:bottom w:val="single" w:sz="4" w:space="10" w:color="808080"/>
        <w:right w:val="single" w:sz="4" w:space="10" w:color="808080"/>
      </w:pBdr>
    </w:pPr>
  </w:style>
  <w:style w:type="table" w:styleId="Tabellenraster">
    <w:name w:val="Table Grid"/>
    <w:basedOn w:val="NormaleTabelle"/>
    <w:uiPriority w:val="39"/>
    <w:rsid w:val="00156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bsatz-Standardschriftart"/>
    <w:rsid w:val="001A71F0"/>
    <w:rPr>
      <w:rFonts w:ascii="FreeSans" w:hAnsi="FreeSans" w:hint="default"/>
      <w:b w:val="0"/>
      <w:bCs w:val="0"/>
      <w:i w:val="0"/>
      <w:iCs w:val="0"/>
      <w:color w:val="444444"/>
      <w:sz w:val="24"/>
      <w:szCs w:val="24"/>
    </w:rPr>
  </w:style>
  <w:style w:type="table" w:customStyle="1" w:styleId="Tabellenraster1">
    <w:name w:val="Tabellenraster1"/>
    <w:basedOn w:val="NormaleTabelle"/>
    <w:next w:val="Tabellenraster"/>
    <w:uiPriority w:val="39"/>
    <w:rsid w:val="002C4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2C4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1342D"/>
    <w:rPr>
      <w:sz w:val="16"/>
      <w:szCs w:val="16"/>
    </w:rPr>
  </w:style>
  <w:style w:type="paragraph" w:styleId="Kommentartext">
    <w:name w:val="annotation text"/>
    <w:basedOn w:val="Standard"/>
    <w:link w:val="KommentartextZchn"/>
    <w:uiPriority w:val="99"/>
    <w:semiHidden/>
    <w:unhideWhenUsed/>
    <w:rsid w:val="0071342D"/>
    <w:pPr>
      <w:spacing w:line="240" w:lineRule="auto"/>
    </w:pPr>
    <w:rPr>
      <w:rFonts w:asciiTheme="minorHAnsi" w:eastAsiaTheme="minorEastAsia" w:hAnsiTheme="minorHAnsi" w:cstheme="minorBidi"/>
      <w:szCs w:val="20"/>
    </w:rPr>
  </w:style>
  <w:style w:type="character" w:customStyle="1" w:styleId="KommentartextZchn">
    <w:name w:val="Kommentartext Zchn"/>
    <w:basedOn w:val="Absatz-Standardschriftart"/>
    <w:link w:val="Kommentartext"/>
    <w:uiPriority w:val="99"/>
    <w:semiHidden/>
    <w:rsid w:val="0071342D"/>
    <w:rPr>
      <w:rFonts w:asciiTheme="minorHAnsi" w:eastAsiaTheme="minorEastAsia" w:hAnsiTheme="minorHAnsi" w:cstheme="minorBidi"/>
      <w:lang w:eastAsia="en-US"/>
    </w:rPr>
  </w:style>
  <w:style w:type="character" w:customStyle="1" w:styleId="berschrift3Zchn">
    <w:name w:val="Überschrift 3 Zchn"/>
    <w:basedOn w:val="Absatz-Standardschriftart"/>
    <w:link w:val="berschrift3"/>
    <w:uiPriority w:val="9"/>
    <w:semiHidden/>
    <w:rsid w:val="00A6633E"/>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330137">
      <w:bodyDiv w:val="1"/>
      <w:marLeft w:val="0"/>
      <w:marRight w:val="0"/>
      <w:marTop w:val="0"/>
      <w:marBottom w:val="0"/>
      <w:divBdr>
        <w:top w:val="none" w:sz="0" w:space="0" w:color="auto"/>
        <w:left w:val="none" w:sz="0" w:space="0" w:color="auto"/>
        <w:bottom w:val="none" w:sz="0" w:space="0" w:color="auto"/>
        <w:right w:val="none" w:sz="0" w:space="0" w:color="auto"/>
      </w:divBdr>
      <w:divsChild>
        <w:div w:id="1959527948">
          <w:marLeft w:val="0"/>
          <w:marRight w:val="0"/>
          <w:marTop w:val="0"/>
          <w:marBottom w:val="0"/>
          <w:divBdr>
            <w:top w:val="none" w:sz="0" w:space="0" w:color="auto"/>
            <w:left w:val="none" w:sz="0" w:space="0" w:color="auto"/>
            <w:bottom w:val="none" w:sz="0" w:space="0" w:color="auto"/>
            <w:right w:val="none" w:sz="0" w:space="0" w:color="auto"/>
          </w:divBdr>
        </w:div>
      </w:divsChild>
    </w:div>
    <w:div w:id="793980554">
      <w:bodyDiv w:val="1"/>
      <w:marLeft w:val="0"/>
      <w:marRight w:val="0"/>
      <w:marTop w:val="0"/>
      <w:marBottom w:val="0"/>
      <w:divBdr>
        <w:top w:val="none" w:sz="0" w:space="0" w:color="auto"/>
        <w:left w:val="none" w:sz="0" w:space="0" w:color="auto"/>
        <w:bottom w:val="none" w:sz="0" w:space="0" w:color="auto"/>
        <w:right w:val="none" w:sz="0" w:space="0" w:color="auto"/>
      </w:divBdr>
    </w:div>
    <w:div w:id="1548449920">
      <w:bodyDiv w:val="1"/>
      <w:marLeft w:val="0"/>
      <w:marRight w:val="0"/>
      <w:marTop w:val="0"/>
      <w:marBottom w:val="0"/>
      <w:divBdr>
        <w:top w:val="none" w:sz="0" w:space="0" w:color="auto"/>
        <w:left w:val="none" w:sz="0" w:space="0" w:color="auto"/>
        <w:bottom w:val="none" w:sz="0" w:space="0" w:color="auto"/>
        <w:right w:val="none" w:sz="0" w:space="0" w:color="auto"/>
      </w:divBdr>
    </w:div>
    <w:div w:id="169098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9471C-B331-47A4-8395-22D7625A5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2208</Words>
  <Characters>13917</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Conrad - C.C.Buchner Verlag</dc:creator>
  <cp:keywords/>
  <cp:lastModifiedBy>Bergrab - C.C.Buchner Verlag</cp:lastModifiedBy>
  <cp:revision>7</cp:revision>
  <cp:lastPrinted>2026-02-06T13:31:00Z</cp:lastPrinted>
  <dcterms:created xsi:type="dcterms:W3CDTF">2024-11-04T07:30:00Z</dcterms:created>
  <dcterms:modified xsi:type="dcterms:W3CDTF">2026-02-06T13:33:00Z</dcterms:modified>
</cp:coreProperties>
</file>