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3B29C5" w14:textId="0C0AB3EC" w:rsidR="00B23521" w:rsidRDefault="00B23521"/>
    <w:sdt>
      <w:sdt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03EDC008" w14:textId="0CE921E9" w:rsidR="00D232DB" w:rsidRDefault="006D0771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6E7B8BF0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BC38C9A" w14:textId="77777777" w:rsidR="00F51C94" w:rsidRDefault="00F51C94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6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fowQwIAAD0EAAAOAAAAZHJzL2Uyb0RvYy54bWysU9uO0zAQfUfiHyy/p7k0TZuo6arbNAhp&#10;gRULH+A6ThOR2MZ2m+4i/p2x05Y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KcJ&#10;Rpz0oNFnYI3wfcdQZPkZpM7A7Uk+Ktuhlg+CftOIi00DXmytlBgaRiqoKrT+/qsA+9AQinbDB1EB&#10;OjkY4ag61aq3gEACOjlFnq+KsJNBFD6TZD4LIxCOgm2aToNk5lKQ7BItlTbvmOiRveRYQe0OnRwf&#10;tLHVkOziYpNxUbZd51Tv+KsPcBx/IDeEWputwon4Iw3S7WK7iL04SrZeHFSVty43sZeU4XxWTIvN&#10;pgh/jsN0ExRGcXAfpV6ZLOZeXMczL50HCy8I0/s0CeI0LkoXBKkvSR15lq+Rd3Panc4S7ET1DDQq&#10;Mc4w7BxcGqFeMBpgfnOsvx+IYhh17zlIkYZxbAfePeLZ3JKobi27WwvhFKBybDAarxszLslBqnbf&#10;QKbQscrFGuSrW8eslXas6iw6zKgj/LxPdglu387r99avfgEAAP//AwBQSwMEFAAGAAgAAAAhAPAs&#10;FwziAAAADQEAAA8AAABkcnMvZG93bnJldi54bWxMj01Lw0AQhu+C/2EZwYvYTaz9itkUKYilCMVU&#10;e94mYxLMzqbZbRL/vZOTHuedh/cjXg+mFh22rrKkIJwEIJAym1dUKPg4vNwvQTivKde1JVTwgw7W&#10;yfVVrKPc9vSOXeoLwSbkIq2g9L6JpHRZiUa7iW2Q+PdlW6M9n20h81b3bG5q+RAEc2l0RZxQ6gY3&#10;JWbf6cUo6LN9dzy8vcr93XFr6bw9b9LPnVK3N8PzEwiPg/+DYazP1SHhTid7odyJWsF8MWOS9dl0&#10;yqNGIgyXCxCnUVs9rkAmsfy/IvkFAAD//wMAUEsBAi0AFAAGAAgAAAAhALaDOJL+AAAA4QEAABMA&#10;AAAAAAAAAAAAAAAAAAAAAFtDb250ZW50X1R5cGVzXS54bWxQSwECLQAUAAYACAAAACEAOP0h/9YA&#10;AACUAQAACwAAAAAAAAAAAAAAAAAvAQAAX3JlbHMvLnJlbHNQSwECLQAUAAYACAAAACEAuBX6MEMC&#10;AAA9BAAADgAAAAAAAAAAAAAAAAAuAgAAZHJzL2Uyb0RvYy54bWxQSwECLQAUAAYACAAAACEA8CwX&#10;DOIAAAANAQAADwAAAAAAAAAAAAAAAACdBAAAZHJzL2Rvd25yZXYueG1sUEsFBgAAAAAEAAQA8wAA&#10;AKwFAAAAAA==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EndPr/>
                          <w:sdtContent>
                            <w:p w14:paraId="2BC38C9A" w14:textId="77777777" w:rsidR="00F51C94" w:rsidRDefault="00F51C94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52EC93F3" w14:textId="5339F87A" w:rsidR="00D232DB" w:rsidRDefault="007921AD">
          <w:pPr>
            <w:rPr>
              <w:vertAlign w:val="subscript"/>
            </w:rPr>
          </w:pPr>
          <w:r>
            <w:rPr>
              <w:noProof/>
            </w:rPr>
            <w:drawing>
              <wp:anchor distT="0" distB="0" distL="114300" distR="114300" simplePos="0" relativeHeight="251809792" behindDoc="0" locked="0" layoutInCell="1" allowOverlap="1" wp14:anchorId="6FBA7C0C" wp14:editId="2122E864">
                <wp:simplePos x="0" y="0"/>
                <wp:positionH relativeFrom="column">
                  <wp:posOffset>6252210</wp:posOffset>
                </wp:positionH>
                <wp:positionV relativeFrom="paragraph">
                  <wp:posOffset>438150</wp:posOffset>
                </wp:positionV>
                <wp:extent cx="3200400" cy="4267200"/>
                <wp:effectExtent l="0" t="0" r="0" b="0"/>
                <wp:wrapNone/>
                <wp:docPr id="1" name="Grafik 1" descr="C:\Users\Zenglein\Desktop\c405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Zenglein\Desktop\c405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00931" cy="4267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F1AF66" wp14:editId="193AEAF9">
                    <wp:simplePos x="0" y="0"/>
                    <wp:positionH relativeFrom="column">
                      <wp:posOffset>153035</wp:posOffset>
                    </wp:positionH>
                    <wp:positionV relativeFrom="paragraph">
                      <wp:posOffset>1007745</wp:posOffset>
                    </wp:positionV>
                    <wp:extent cx="4585335" cy="3288665"/>
                    <wp:effectExtent l="0" t="0" r="0" b="6985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585335" cy="3288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FC98DB" w14:textId="77777777" w:rsidR="0042574A" w:rsidRPr="003D6185" w:rsidRDefault="0042574A" w:rsidP="0042574A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color w:val="EA0000"/>
                                    <w:sz w:val="128"/>
                                    <w:szCs w:val="128"/>
                                  </w:rPr>
                                </w:pPr>
                                <w:r w:rsidRPr="003D6185">
                                  <w:rPr>
                                    <w:rFonts w:ascii="Calibri" w:hAnsi="Calibri"/>
                                    <w:b/>
                                    <w:bCs/>
                                    <w:color w:val="EA0000"/>
                                    <w:sz w:val="128"/>
                                    <w:szCs w:val="128"/>
                                  </w:rPr>
                                  <w:t>prima.</w:t>
                                </w:r>
                              </w:p>
                              <w:p w14:paraId="4A80F228" w14:textId="77777777" w:rsidR="0042574A" w:rsidRPr="003D6185" w:rsidRDefault="0042574A" w:rsidP="0042574A">
                                <w:pPr>
                                  <w:rPr>
                                    <w:rFonts w:ascii="Calibri" w:hAnsi="Calibri"/>
                                    <w:color w:val="FF0000"/>
                                    <w:sz w:val="54"/>
                                    <w:szCs w:val="54"/>
                                  </w:rPr>
                                </w:pPr>
                                <w:r w:rsidRPr="003D6185">
                                  <w:rPr>
                                    <w:rFonts w:ascii="Calibri" w:hAnsi="Calibri"/>
                                    <w:color w:val="EA0000"/>
                                    <w:sz w:val="54"/>
                                    <w:szCs w:val="54"/>
                                  </w:rPr>
                                  <w:t>LATEIN LERNEN</w:t>
                                </w:r>
                              </w:p>
                              <w:p w14:paraId="4FD6D840" w14:textId="1EC8F80F" w:rsidR="0042574A" w:rsidRPr="003D6185" w:rsidRDefault="0042574A" w:rsidP="0042574A">
                                <w:pPr>
                                  <w:spacing w:before="240"/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  <w:r w:rsidRPr="003D6185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 xml:space="preserve">Synopse </w:t>
                                </w:r>
                                <w: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>Sachsen – neue Stundentafel</w:t>
                                </w:r>
                              </w:p>
                              <w:p w14:paraId="0032E26D" w14:textId="5AE5B4DF" w:rsidR="0042574A" w:rsidRPr="003D6185" w:rsidRDefault="0042574A" w:rsidP="0042574A">
                                <w:pP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  <w:r w:rsidRPr="003D6185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 xml:space="preserve">1. </w:t>
                                </w:r>
                                <w: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>Band</w:t>
                                </w:r>
                                <w:r w:rsidR="004E00C8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>: Lektion 1 – 14</w:t>
                                </w:r>
                                <w:bookmarkStart w:id="0" w:name="_GoBack"/>
                                <w:bookmarkEnd w:id="0"/>
                              </w:p>
                              <w:p w14:paraId="3B25148A" w14:textId="77777777" w:rsidR="0042574A" w:rsidRPr="003D6185" w:rsidRDefault="0042574A" w:rsidP="0042574A">
                                <w:pPr>
                                  <w:spacing w:before="240"/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  <w:r w:rsidRPr="003D6185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>ISBN 978-3-661-</w:t>
                                </w:r>
                                <w:r w:rsidRPr="003D6185">
                                  <w:rPr>
                                    <w:rFonts w:ascii="Calibri" w:hAnsi="Calibri"/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>40501</w:t>
                                </w:r>
                                <w:r w:rsidRPr="003D6185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>-8</w:t>
                                </w:r>
                              </w:p>
                              <w:p w14:paraId="738A4E3A" w14:textId="69FE407B" w:rsidR="00F51C94" w:rsidRPr="00644372" w:rsidRDefault="00F51C94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F1AF66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2" o:spid="_x0000_s1027" type="#_x0000_t202" style="position:absolute;margin-left:12.05pt;margin-top:79.35pt;width:361.05pt;height:258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Jg2uwIAAMYFAAAOAAAAZHJzL2Uyb0RvYy54bWysVFtv2jAUfp+0/2D5nSahgULUUKVUTJNQ&#10;W41OfTaOXaI6tmcbCJv233fsJMC6vXTaS3J8znful+ubphZox4ytlMxxchFjxCRVZSVfcvz1aTGY&#10;YGQdkSURSrIcH5jFN7OPH673OmNDtVGiZAaBEWmzvc7xxjmdRZGlG1YTe6E0kyDkytTEwdO8RKUh&#10;e7Bei2gYx+Nor0ypjaLMWuDetUI8C/Y5Z9Q9cG6ZQyLHEJsLXxO+a/+NZtckezFEbyrahUH+IYqa&#10;VBKcHk3dEUfQ1lR/mKorapRV3F1QVUeK84qykANkk8RvslltiGYhFyiO1ccy2f9nlt7vHg2qyhyP&#10;pxhJUkOPnljjOBMlSoa+PnttM4CtNABdc6sa6HPI1eqloq8WINEZplWwgPb1aLip/R8yRaAILTgc&#10;yw5uEAVmOpqMLi9HGFGQXQ4nk/F45B1HJ3VtrPvEVI08kWMDfQ0hkN3SuhbaQ7w3qRaVEMAnmZC/&#10;McBmy2FhOFptkkEoQHqkDyo07sd8dDUsrkbTwbgYJYM0iSeDooiHg7tFERdxuphP09ufXZy9fihE&#10;m7sviXUHwdoovjAOZQ4l8Iww4GwuDNoRGE1CKZMu6awJCWiP4pDFexQ7fMgj5Pce5bYivWcl3VG5&#10;rqQybcv9Xp7CLl/7kHmL70ahy9uXwDXrJsxXQHrOWpUHGCWj2mW0mi4q6OqSWPdIDGwfDAlcFPcA&#10;Hy7UPseqozDaKPP9b3yPh6UAKUZ72OYc229bYhhG4rOEdZkmaerXPzxSaCw8zLlkfS6R23quoCsJ&#10;3C5NA+nxTvQkN6p+hsNTeK8gIpKC7xy7npy79sbA4aKsKAIIFl4Tt5QrTfsN8jP71DwTo7vBdjBI&#10;96rfe5K9me8W69srVbF1ildh+E9V7eoPxyKsT3fY/DU6fwfU6fzOfgEAAP//AwBQSwMEFAAGAAgA&#10;AAAhAHkJxiTfAAAACgEAAA8AAABkcnMvZG93bnJldi54bWxMj0FOwzAQRfdI3MGaSuyo06g4VYhT&#10;IaQKhNgQegA3duMo8diK7SRweswKljPz9Of96riakcxq8r1FDrttBkRha2WPHYfz5+n+AMQHgVKM&#10;FhWHL+XhWN/eVKKUdsEPNTehIykEfSk46BBcSalvtTLCb61TmG5XOxkR0jh1VE5iSeFmpHmWMWpE&#10;j+mDFk49a9UOTTQcTvHl1czfNLq3pl1QuyGe3wfO7zbr0yOQoNbwB8OvflKHOjldbETpycgh3+8S&#10;mfYPhwJIAoo9y4FcOLCCMaB1Rf9XqH8AAAD//wMAUEsBAi0AFAAGAAgAAAAhALaDOJL+AAAA4QEA&#10;ABMAAAAAAAAAAAAAAAAAAAAAAFtDb250ZW50X1R5cGVzXS54bWxQSwECLQAUAAYACAAAACEAOP0h&#10;/9YAAACUAQAACwAAAAAAAAAAAAAAAAAvAQAAX3JlbHMvLnJlbHNQSwECLQAUAAYACAAAACEAqZSY&#10;NrsCAADGBQAADgAAAAAAAAAAAAAAAAAuAgAAZHJzL2Uyb0RvYy54bWxQSwECLQAUAAYACAAAACEA&#10;eQnGJN8AAAAKAQAADwAAAAAAAAAAAAAAAAAVBQAAZHJzL2Rvd25yZXYueG1sUEsFBgAAAAAEAAQA&#10;8wAAACEGAAAAAA==&#10;" filled="f" stroked="f">
                    <v:path arrowok="t"/>
                    <v:textbox>
                      <w:txbxContent>
                        <w:p w14:paraId="59FC98DB" w14:textId="77777777" w:rsidR="0042574A" w:rsidRPr="003D6185" w:rsidRDefault="0042574A" w:rsidP="0042574A">
                          <w:pPr>
                            <w:rPr>
                              <w:rFonts w:ascii="Calibri" w:hAnsi="Calibri"/>
                              <w:b/>
                              <w:bCs/>
                              <w:color w:val="EA0000"/>
                              <w:sz w:val="128"/>
                              <w:szCs w:val="128"/>
                            </w:rPr>
                          </w:pPr>
                          <w:r w:rsidRPr="003D6185">
                            <w:rPr>
                              <w:rFonts w:ascii="Calibri" w:hAnsi="Calibri"/>
                              <w:b/>
                              <w:bCs/>
                              <w:color w:val="EA0000"/>
                              <w:sz w:val="128"/>
                              <w:szCs w:val="128"/>
                            </w:rPr>
                            <w:t>prima.</w:t>
                          </w:r>
                        </w:p>
                        <w:p w14:paraId="4A80F228" w14:textId="77777777" w:rsidR="0042574A" w:rsidRPr="003D6185" w:rsidRDefault="0042574A" w:rsidP="0042574A">
                          <w:pPr>
                            <w:rPr>
                              <w:rFonts w:ascii="Calibri" w:hAnsi="Calibri"/>
                              <w:color w:val="FF0000"/>
                              <w:sz w:val="54"/>
                              <w:szCs w:val="54"/>
                            </w:rPr>
                          </w:pPr>
                          <w:r w:rsidRPr="003D6185">
                            <w:rPr>
                              <w:rFonts w:ascii="Calibri" w:hAnsi="Calibri"/>
                              <w:color w:val="EA0000"/>
                              <w:sz w:val="54"/>
                              <w:szCs w:val="54"/>
                            </w:rPr>
                            <w:t>LATEIN LERNEN</w:t>
                          </w:r>
                        </w:p>
                        <w:p w14:paraId="4FD6D840" w14:textId="1EC8F80F" w:rsidR="0042574A" w:rsidRPr="003D6185" w:rsidRDefault="0042574A" w:rsidP="0042574A">
                          <w:pPr>
                            <w:spacing w:before="240"/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  <w:r w:rsidRPr="003D6185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 xml:space="preserve">Synopse </w:t>
                          </w:r>
                          <w: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>Sachsen – neue Stundentafel</w:t>
                          </w:r>
                        </w:p>
                        <w:p w14:paraId="0032E26D" w14:textId="5AE5B4DF" w:rsidR="0042574A" w:rsidRPr="003D6185" w:rsidRDefault="0042574A" w:rsidP="0042574A">
                          <w:pP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  <w:r w:rsidRPr="003D6185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 xml:space="preserve">1. </w:t>
                          </w:r>
                          <w: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>Band</w:t>
                          </w:r>
                          <w:r w:rsidR="004E00C8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>: Lektion 1 – 14</w:t>
                          </w:r>
                          <w:bookmarkStart w:id="1" w:name="_GoBack"/>
                          <w:bookmarkEnd w:id="1"/>
                        </w:p>
                        <w:p w14:paraId="3B25148A" w14:textId="77777777" w:rsidR="0042574A" w:rsidRPr="003D6185" w:rsidRDefault="0042574A" w:rsidP="0042574A">
                          <w:pPr>
                            <w:spacing w:before="240"/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  <w:r w:rsidRPr="003D6185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>ISBN 978-3-661-</w:t>
                          </w:r>
                          <w:r w:rsidRPr="003D6185">
                            <w:rPr>
                              <w:rFonts w:ascii="Calibri" w:hAnsi="Calibri"/>
                              <w:b/>
                              <w:bCs/>
                              <w:sz w:val="40"/>
                              <w:szCs w:val="40"/>
                            </w:rPr>
                            <w:t>40501</w:t>
                          </w:r>
                          <w:r w:rsidRPr="003D6185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>-8</w:t>
                          </w:r>
                        </w:p>
                        <w:p w14:paraId="738A4E3A" w14:textId="69FE407B" w:rsidR="00F51C94" w:rsidRPr="00644372" w:rsidRDefault="00F51C94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0768" behindDoc="0" locked="0" layoutInCell="1" allowOverlap="1" wp14:anchorId="61E834B9" wp14:editId="71FE4A57">
                    <wp:simplePos x="0" y="0"/>
                    <wp:positionH relativeFrom="column">
                      <wp:posOffset>6324600</wp:posOffset>
                    </wp:positionH>
                    <wp:positionV relativeFrom="paragraph">
                      <wp:posOffset>2385695</wp:posOffset>
                    </wp:positionV>
                    <wp:extent cx="2971800" cy="685800"/>
                    <wp:effectExtent l="0" t="0" r="0" b="0"/>
                    <wp:wrapSquare wrapText="bothSides"/>
                    <wp:docPr id="66" name="Textfeld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297180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3B6C29C" w14:textId="77777777" w:rsidR="00F51C94" w:rsidRPr="00CD0D24" w:rsidRDefault="00F51C94" w:rsidP="00D232DB">
                                <w:pPr>
                                  <w:jc w:val="center"/>
                                  <w:rPr>
                                    <w:rFonts w:ascii="Calibri" w:hAnsi="Calibri"/>
                                    <w:color w:val="808080" w:themeColor="background1" w:themeShade="80"/>
                                  </w:rPr>
                                </w:pPr>
                                <w:r w:rsidRPr="00CD0D24">
                                  <w:rPr>
                                    <w:rFonts w:ascii="Calibri" w:hAnsi="Calibri"/>
                                    <w:color w:val="808080" w:themeColor="background1" w:themeShade="80"/>
                                  </w:rPr>
                                  <w:t xml:space="preserve">Cover </w:t>
                                </w:r>
                                <w:r w:rsidRPr="00C310C5">
                                  <w:rPr>
                                    <w:rFonts w:ascii="Calibri" w:hAnsi="Calibri"/>
                                    <w:color w:val="808080" w:themeColor="background1" w:themeShade="80"/>
                                  </w:rPr>
                                  <w:t>einfügen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1E834B9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6" o:spid="_x0000_s1028" type="#_x0000_t202" style="position:absolute;margin-left:498pt;margin-top:187.85pt;width:234pt;height:5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zpkugIAAMUFAAAOAAAAZHJzL2Uyb0RvYy54bWysVN9v2jAQfp+0/8HyO02CgELUUKVUTJNQ&#10;W41OfTaOXaI6tmcbCJv2v+9sJ5R1e+m0l8S+++58992Pq+u2EWjPjK2VLHB2kWLEJFVVLZ8L/PVx&#10;OZhiZB2RFRFKsgIfmcXX848frg46Z0O1VaJiBoETafODLvDWOZ0niaVb1hB7oTSToOTKNMTB1Twn&#10;lSEH8N6IZJimk+SgTKWNosxakN5GJZ4H/5wz6u45t8whUWCIzYWvCd+N/ybzK5I/G6K3Ne3CIP8Q&#10;RUNqCY+eXN0SR9DO1H+4ampqlFXcXVDVJIrzmrKQA2STpW+yWW+JZiEXIMfqE032/7mld/sHg+qq&#10;wJMJRpI0UKNH1jrORIWyiefnoG0OsLUGoGtvVAt1DrlavVL0xQIkOcNEAwtoz0fLTeP/kCkCQyjB&#10;8UQ7PIMoCIezy2yagoqCbjId+7N3+mqtjXWfmGqQPxTYQFlDBGS/si5Ce4h/TKplLQTISS7kbwLw&#10;GSUs9Ea0JjlEAkeP9DGFuv1YjC+H5eV4NpiU42wwytLpoCzT4eB2WaZlOlouZqObn12cvX3gIabu&#10;GbHuKFiM4gvjwHJgwAtCf7OFMGhPoDMJpUy6rPMmJKA9ikMW7zHs8CGPkN97jCMj/ctKupNxU0tl&#10;YsX9WL6GXb30IfOI7zqhy9tT4NpNG9pr2LfSRlVH6CSj4ixaTZc1VHVFrHsgBoYPGgEWiruHDxfq&#10;UGDVnTDaKvP9b3KPh5kALUYHGOYC2287YhhG4rOEaZllo5Gf/nAZQWHhYs41m3ON3DULBVXJYHVp&#10;Go4e70R/5EY1T7B3Sv8qqIik8HaBXX9cuLhiYG9RVpYBBPOuiVvJtab9APmefWyfiNFdYztopDvV&#10;jz3J3/R3xPrySlXunOJ1aH7Pc2S14x92RRifbq/5ZXR+D6jX7Tv/BQAA//8DAFBLAwQUAAYACAAA&#10;ACEAtu+g2+EAAAAMAQAADwAAAGRycy9kb3ducmV2LnhtbEyPwU7DMBBE70j8g7VI3KhTGpI2jVMh&#10;pAqEuBD6AW5s4ijx2ortJPD1uCd6nJ3R7JvysOiBTHJ0nUEG61UCRGJjRIctg9PX8WELxHmOgg8G&#10;JYMf6eBQ3d6UvBBmxk851b4lsQRdwRko721BqWuU1NytjJUYvW8zau6jHFsqRj7Hcj3QxyTJqOYd&#10;xg+KW/miZNPXQTM4htc3Pf3SYN/rZkZl+3D66Bm7v1ue90C8XPx/GC74ER2qyHQ2AYUjA4PdLotb&#10;PINN/pQDuSTSLI2nM4N0u8mBViW9HlH9AQAA//8DAFBLAQItABQABgAIAAAAIQC2gziS/gAAAOEB&#10;AAATAAAAAAAAAAAAAAAAAAAAAABbQ29udGVudF9UeXBlc10ueG1sUEsBAi0AFAAGAAgAAAAhADj9&#10;If/WAAAAlAEAAAsAAAAAAAAAAAAAAAAALwEAAF9yZWxzLy5yZWxzUEsBAi0AFAAGAAgAAAAhAFyP&#10;OmS6AgAAxQUAAA4AAAAAAAAAAAAAAAAALgIAAGRycy9lMm9Eb2MueG1sUEsBAi0AFAAGAAgAAAAh&#10;ALbvoNvhAAAADAEAAA8AAAAAAAAAAAAAAAAAFAUAAGRycy9kb3ducmV2LnhtbFBLBQYAAAAABAAE&#10;APMAAAAiBgAAAAA=&#10;" filled="f" stroked="f">
                    <v:path arrowok="t"/>
                    <v:textbox>
                      <w:txbxContent>
                        <w:p w14:paraId="43B6C29C" w14:textId="77777777" w:rsidR="00F51C94" w:rsidRPr="00CD0D24" w:rsidRDefault="00F51C94" w:rsidP="00D232DB">
                          <w:pPr>
                            <w:jc w:val="center"/>
                            <w:rPr>
                              <w:rFonts w:ascii="Calibri" w:hAnsi="Calibri"/>
                              <w:color w:val="808080" w:themeColor="background1" w:themeShade="80"/>
                            </w:rPr>
                          </w:pPr>
                          <w:r w:rsidRPr="00CD0D24">
                            <w:rPr>
                              <w:rFonts w:ascii="Calibri" w:hAnsi="Calibri"/>
                              <w:color w:val="808080" w:themeColor="background1" w:themeShade="80"/>
                            </w:rPr>
                            <w:t xml:space="preserve">Cover </w:t>
                          </w:r>
                          <w:r w:rsidRPr="00C310C5">
                            <w:rPr>
                              <w:rFonts w:ascii="Calibri" w:hAnsi="Calibri"/>
                              <w:color w:val="808080" w:themeColor="background1" w:themeShade="80"/>
                            </w:rPr>
                            <w:t>einfügen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8768" behindDoc="0" locked="0" layoutInCell="1" allowOverlap="1" wp14:anchorId="1C8E8847" wp14:editId="230ED214">
                    <wp:simplePos x="0" y="0"/>
                    <wp:positionH relativeFrom="column">
                      <wp:posOffset>-64770</wp:posOffset>
                    </wp:positionH>
                    <wp:positionV relativeFrom="paragraph">
                      <wp:posOffset>5743575</wp:posOffset>
                    </wp:positionV>
                    <wp:extent cx="3788410" cy="311150"/>
                    <wp:effectExtent l="0" t="0" r="0" b="0"/>
                    <wp:wrapNone/>
                    <wp:docPr id="64" name="Text Box 1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788410" cy="31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3B827E" w14:textId="7EC619DC" w:rsidR="005F71C7" w:rsidRPr="00394C7F" w:rsidRDefault="005F71C7" w:rsidP="005F71C7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prima. Band 1. Synopse Sachsen 2020.</w:t>
                                </w:r>
                              </w:p>
                              <w:p w14:paraId="79A468B3" w14:textId="7047DECE" w:rsidR="00F51C94" w:rsidRPr="00394C7F" w:rsidRDefault="00F51C94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<w:pict>
                  <v:shape w14:anchorId="1C8E8847" id="Text Box 146" o:spid="_x0000_s1029" type="#_x0000_t202" style="position:absolute;margin-left:-5.1pt;margin-top:452.25pt;width:298.3pt;height:24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xbF+AEAANADAAAOAAAAZHJzL2Uyb0RvYy54bWysU9tu2zAMfR+wfxD0vjhO3DQ14hRdiw4D&#10;ugvQ7gNkWbaF2aJGKbGzrx8lJ1m6vQ17EcSLDg8Pqc3t2Hdsr9BpMAVPZ3POlJFQadMU/NvL47s1&#10;Z84LU4kOjCr4QTl+u337ZjPYXC2gha5SyAjEuHywBW+9t3mSONmqXrgZWGUoWAP2wpOJTVKhGAi9&#10;75LFfL5KBsDKIkjlHHkfpiDfRvy6VtJ/qWunPOsKTtx8PDGeZTiT7UbkDQrbanmkIf6BRS+0oaJn&#10;qAfhBduh/guq1xLBQe1nEvoE6lpLFXugbtL5H908t8Kq2AuJ4+xZJvf/YOXn/Vdkuir4KuPMiJ5m&#10;9KJGz97DyNJsFQQarMsp79lSph8pQIOOzTr7BPK7YwbuW2EadYcIQ6tERQTT8DK5eDrhuABSDp+g&#10;okJi5yECjTX2QT3SgxE6DepwHk4gI8m5vF6vs5RCkmLLNE2v4vQSkZ9eW3T+g4KehUvBkYYf0cX+&#10;yfnARuSnlFDMwKPuurgAnXnloMTgiewD4Ym6H8sxKrU8iVJCdaB2EKa1om9AlxbwJ2cDrVTB3Y+d&#10;QMVZ99GQJDdploUdjEZ2db0gAy8j5WVEGElQBfecTdd7P+3tzqJuWqo0DcHAHclY69hh0HtidaRP&#10;axMbP6542MtLO2b9/ojbXwAAAP//AwBQSwMEFAAGAAgAAAAhAPg3d5HfAAAACwEAAA8AAABkcnMv&#10;ZG93bnJldi54bWxMj01PwzAMhu9I/IfISNy2ZKOZttJ0QiCuTIwPiVvWeG1F41RNtpZ/P3OCo+1H&#10;r5+32E6+E2ccYhvIwGKuQCBVwbVUG3h/e56tQcRkydkuEBr4wQjb8vqqsLkLI73ieZ9qwSEUc2ug&#10;SanPpYxVg97GeeiR+HYMg7eJx6GWbrAjh/tOLpVaSW9b4g+N7fGxwep7f/IGPl6OX5+Z2tVPXvdj&#10;mJQkv5HG3N5MD/cgEk7pD4ZffVaHkp0O4UQuis7AbKGWjBrYqEyDYEKvVxmIA2/0nQZZFvJ/h/IC&#10;AAD//wMAUEsBAi0AFAAGAAgAAAAhALaDOJL+AAAA4QEAABMAAAAAAAAAAAAAAAAAAAAAAFtDb250&#10;ZW50X1R5cGVzXS54bWxQSwECLQAUAAYACAAAACEAOP0h/9YAAACUAQAACwAAAAAAAAAAAAAAAAAv&#10;AQAAX3JlbHMvLnJlbHNQSwECLQAUAAYACAAAACEAJ98WxfgBAADQAwAADgAAAAAAAAAAAAAAAAAu&#10;AgAAZHJzL2Uyb0RvYy54bWxQSwECLQAUAAYACAAAACEA+Dd3kd8AAAALAQAADwAAAAAAAAAAAAAA&#10;AABSBAAAZHJzL2Rvd25yZXYueG1sUEsFBgAAAAAEAAQA8wAAAF4FAAAAAA==&#10;" filled="f" stroked="f">
                    <v:textbox>
                      <w:txbxContent>
                        <w:p w14:paraId="103B827E" w14:textId="7EC619DC" w:rsidR="005F71C7" w:rsidRPr="00394C7F" w:rsidRDefault="005F71C7" w:rsidP="005F71C7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prima. 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Band 1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. Synopse 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Sachsen 20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20.</w:t>
                          </w:r>
                        </w:p>
                        <w:p w14:paraId="79A468B3" w14:textId="7047DECE" w:rsidR="00F51C94" w:rsidRPr="00394C7F" w:rsidRDefault="00F51C94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0A9E0B48" wp14:editId="6C237D9B">
                    <wp:simplePos x="0" y="0"/>
                    <wp:positionH relativeFrom="column">
                      <wp:posOffset>8380730</wp:posOffset>
                    </wp:positionH>
                    <wp:positionV relativeFrom="paragraph">
                      <wp:posOffset>5749290</wp:posOffset>
                    </wp:positionV>
                    <wp:extent cx="2113280" cy="608330"/>
                    <wp:effectExtent l="0" t="0" r="0" b="1270"/>
                    <wp:wrapNone/>
                    <wp:docPr id="62" name="Text Box 1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13280" cy="608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7826DE" w14:textId="77777777" w:rsidR="00F51C94" w:rsidRPr="00394C7F" w:rsidRDefault="00F51C94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 w:rsidRPr="00394C7F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www.ccbuchner.de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<w:pict>
                  <v:shape w14:anchorId="0A9E0B48" id="Text Box 144" o:spid="_x0000_s1030" type="#_x0000_t202" style="position:absolute;margin-left:659.9pt;margin-top:452.7pt;width:166.4pt;height:47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SCc9gEAANADAAAOAAAAZHJzL2Uyb0RvYy54bWysU9uO0zAQfUfiHyy/0zRpKSVqulp2tQhp&#10;uUi7fMDUcRqLxGPGbpPl6xk73VLgDfFieS4+c+bMeHM19p04avIGbSXz2VwKbRXWxu4r+fXx7tVa&#10;Ch/A1tCh1ZV80l5ebV++2Ayu1AW22NWaBINYXw6ukm0Irswyr1rdg5+h05aDDVIPgU3aZzXBwOh9&#10;lxXz+SobkGpHqLT37L2dgnKb8JtGq/C5abwOoqskcwvppHTu4pltN1DuCVxr1IkG/AOLHozlomeo&#10;WwggDmT+guqNIvTYhJnCPsOmMUqnHribfP5HNw8tOJ16YXG8O8vk/x+s+nT8QsLUlVwVUljoeUaP&#10;egziHY4iXy6jQIPzJec9OM4MIwd40KlZ7+5RffPC4k0Ldq+viXBoNdRMMI8vs4unE46PILvhI9Zc&#10;CA4BE9DYUB/VYz0Eo/Ogns7DiWQUO4s8XxRrDimOrebrxSJNL4Py+bUjH95r7EW8VJJ4+Akdjvc+&#10;RDZQPqfEYhbvTNelBejsbw5OjJ7EPhKeqIdxNyalzqLssH7idginteJvwJcW6YcUA69UJf33A5CW&#10;ovtgWZK3rGfcwWQsX78p2KDLyO4yAlYxVCWDFNP1Jkx7e3Bk9i1XmoZg8ZplbEzqMOo9sTrR57VJ&#10;jZ9WPO7lpZ2yfn3E7U8AAAD//wMAUEsDBBQABgAIAAAAIQA1l+wq4AAAAA4BAAAPAAAAZHJzL2Rv&#10;d25yZXYueG1sTI/NTsMwEITvSLyDtUjcqJ3QRCTEqRCIK4jyI3Fz420SEa+j2G3C27M90duMZjT7&#10;bbVZ3CCOOIXek4ZkpUAgNd721Gr4eH++uQMRoiFrBk+o4RcDbOrLi8qU1s/0hsdtbAWPUCiNhi7G&#10;sZQyNB06E1Z+ROJs7ydnItuplXYyM4+7QaZK5dKZnvhCZ0Z87LD52R6chs+X/ffXWr22Ty4bZ78o&#10;Sa6QWl9fLQ/3ICIu8b8MJ3xGh5qZdv5ANoiB/W1SMHvUUKhsDeJUybM0B7FjpVSSgqwref5G/QcA&#10;AP//AwBQSwECLQAUAAYACAAAACEAtoM4kv4AAADhAQAAEwAAAAAAAAAAAAAAAAAAAAAAW0NvbnRl&#10;bnRfVHlwZXNdLnhtbFBLAQItABQABgAIAAAAIQA4/SH/1gAAAJQBAAALAAAAAAAAAAAAAAAAAC8B&#10;AABfcmVscy8ucmVsc1BLAQItABQABgAIAAAAIQC2JSCc9gEAANADAAAOAAAAAAAAAAAAAAAAAC4C&#10;AABkcnMvZTJvRG9jLnhtbFBLAQItABQABgAIAAAAIQA1l+wq4AAAAA4BAAAPAAAAAAAAAAAAAAAA&#10;AFAEAABkcnMvZG93bnJldi54bWxQSwUGAAAAAAQABADzAAAAXQUAAAAA&#10;" filled="f" stroked="f">
                    <v:textbox>
                      <w:txbxContent>
                        <w:p w14:paraId="5B7826DE" w14:textId="77777777" w:rsidR="00F51C94" w:rsidRPr="00394C7F" w:rsidRDefault="00F51C94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anchorId="289682D8" wp14:editId="312662B9">
                    <wp:simplePos x="0" y="0"/>
                    <wp:positionH relativeFrom="column">
                      <wp:posOffset>8055610</wp:posOffset>
                    </wp:positionH>
                    <wp:positionV relativeFrom="paragraph">
                      <wp:posOffset>5700395</wp:posOffset>
                    </wp:positionV>
                    <wp:extent cx="2066290" cy="377825"/>
                    <wp:effectExtent l="0" t="0" r="16510" b="28575"/>
                    <wp:wrapNone/>
                    <wp:docPr id="65" name="Rectangle 1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66290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<w:pict>
                  <v:rect w14:anchorId="0048B61F" id="Rectangle 143" o:spid="_x0000_s1026" style="position:absolute;margin-left:634.3pt;margin-top:448.85pt;width:162.7pt;height: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iRMAIAAIUEAAAOAAAAZHJzL2Uyb0RvYy54bWy0VNtuEzEQfUfiHyy/k700SZNVNlWVUoRU&#10;oKLwAY7Xu2the4ztZBO+vmNvGgK8IXixPJ7x8Zk5M17dHLQie+G8BFPTYpJTIgyHRpqupl+/3L9Z&#10;UOIDMw1TYERNj8LTm/XrV6vBVqKEHlQjHEEQ46vB1rQPwVZZ5nkvNPMTsMKgswWnWUDTdVnj2IDo&#10;WmVlns+zAVxjHXDhPZ7ejU66TvhtK3j41LZeBKJqitxCWl1at3HN1itWdY7ZXvITDfYXLDSTBh89&#10;Q92xwMjOyT+gtOQOPLRhwkFn0LaSi5QDZlPkv2Xz1DMrUi5YHG/PZfL/DpZ/3D86IpuazmeUGKZR&#10;o89YNWY6JUgxvYoVGqyvMPDJPrqYo7cPwL95YmDTY5y4dQ6GXrAGeRUxPvvlQjQ8XiXb4QM0iM92&#10;AVKxDq3TERDLQA5Jk+NZE3EIhONhmc/n5RKl4+i7ur5elLP0BKteblvnwzsBmsRNTR2yT+hs/+BD&#10;ZMOql5DEHpRs7qVSyYh9JjbKkT3DDtl2RbqqdhqpjmeLWZ6nPkGc1JYxPKH6SyRlyFDT5Qzp/cdX&#10;tAw4Lkrqmi6Q1kiMVbH4b02TmjkwqcY9ElbmpEYUYBRyC80RxXAwzgLOLm56cD8oGXAOauq/75gT&#10;lKj3BgVdFtNpHJxkTGfXJRru0rO99DDDEaqmgZJxuwnjsO2sk12PL40FNnCLTdDKpE9skJHViSz2&#10;eirwaS7jMF3aKern77F+BgAA//8DAFBLAwQUAAYACAAAACEANky/xeEAAAANAQAADwAAAGRycy9k&#10;b3ducmV2LnhtbEyPy07DMBBF90j8gzVIbBB1GsiTOBXiIRas2gJrNx6SiHhsYqcJf4+7guXVHN05&#10;t9osemBHHF1vSMB6FQFDaozqqRXwtn++zoE5L0nJwRAK+EEHm/r8rJKlMjNt8bjzLQsl5EopoPPe&#10;lpy7pkMt3cpYpHD7NKOWPsSx5WqUcyjXA4+jKOVa9hQ+dNLiQ4fN127SAj5eHvfvEz2t5631zWvy&#10;fZXf2EmIy4vl/g6Yx8X/wXDSD+pQB6eDmUg5NoQcp3kaWAF5kWXATkhS3IZ9BwFFksXA64r/X1H/&#10;AgAA//8DAFBLAQItABQABgAIAAAAIQC2gziS/gAAAOEBAAATAAAAAAAAAAAAAAAAAAAAAABbQ29u&#10;dGVudF9UeXBlc10ueG1sUEsBAi0AFAAGAAgAAAAhADj9If/WAAAAlAEAAAsAAAAAAAAAAAAAAAAA&#10;LwEAAF9yZWxzLy5yZWxzUEsBAi0AFAAGAAgAAAAhAFEzKJEwAgAAhQQAAA4AAAAAAAAAAAAAAAAA&#10;LgIAAGRycy9lMm9Eb2MueG1sUEsBAi0AFAAGAAgAAAAhADZMv8XhAAAADQEAAA8AAAAAAAAAAAAA&#10;AAAAigQAAGRycy9kb3ducmV2LnhtbFBLBQYAAAAABAAEAPMAAACYBQAAAAA=&#10;" fillcolor="#d8d8d8 [2732]" strokecolor="#d8d8d8 [2732]"/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7744" behindDoc="0" locked="0" layoutInCell="1" allowOverlap="1" wp14:anchorId="28A62D46" wp14:editId="0A2396A6">
                    <wp:simplePos x="0" y="0"/>
                    <wp:positionH relativeFrom="column">
                      <wp:posOffset>-727710</wp:posOffset>
                    </wp:positionH>
                    <wp:positionV relativeFrom="paragraph">
                      <wp:posOffset>5700395</wp:posOffset>
                    </wp:positionV>
                    <wp:extent cx="8653145" cy="377825"/>
                    <wp:effectExtent l="0" t="0" r="33655" b="28575"/>
                    <wp:wrapNone/>
                    <wp:docPr id="63" name="Rectangle 1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653145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<w:pict>
                  <v:rect w14:anchorId="07D25AE2" id="Rectangle 145" o:spid="_x0000_s1026" style="position:absolute;margin-left:-57.3pt;margin-top:448.85pt;width:681.35pt;height:2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MDMwIAAKsEAAAOAAAAZHJzL2Uyb0RvYy54bWy8VNuO0zAQfUfiHyy/0yS9b9R0teqyCGmB&#10;FQsf4DpOYuEbY7dp+fodO20p8IYQL5Hn4uMzc2ayuj1oRfYCvLSmosUop0QYbmtp2op+/fLwZkmJ&#10;D8zUTFkjKnoUnt6uX79a9a4UY9tZVQsgCGJ82buKdiG4Mss874RmfmSdMBhsLGgW0IQ2q4H1iK5V&#10;Ns7zedZbqB1YLrxH7/0QpOuE3zSCh09N40UgqqLILaQvpO82frP1ipUtMNdJfqLB/oKFZtLgoxeo&#10;exYY2YH8A0pLDtbbJoy41ZltGslFqgGrKfLfqnnumBOpFmyOd5c2+X8Hyz/un4DIuqLzCSWGadTo&#10;M3aNmVYJUkxnsUO98yUmPrsniDV692j5N0+M3XSYJ+4AbN8JViOvIuZnv1yIhserZNt/sDXis12w&#10;qVmHBnQExDaQQ9LkeNFEHALh6FzOZ5NIg3CMTRaL5ThRylh5vu3Ah3fCahIPFQVkn9DZ/tGHyIaV&#10;55TE3ipZP0ilkhHnTGwUkD3DCdm2RbqqdhqpDr7lLM9Pc4JunKbBnVwInSY1IqSH/DW4MqSv6M0M&#10;Gf/fh7UMuFRKamwfkj/TjxK9NXUa+cCkGs5YgzInzaJMg9xbWx9RMrDDxuCG46Gz8IOSHrelov77&#10;joGgRL03KPtNMZ3G9UrGdLYYowHXke11hBmOUBUNlAzHTRhWcudAth2+NMhg7B2OSiOTinGMBlYn&#10;srgRqeen7Y0rd22nrJ//mPULAAAA//8DAFBLAwQUAAYACAAAACEA1oNEAeQAAAANAQAADwAAAGRy&#10;cy9kb3ducmV2LnhtbEyPy07DMBBF90j8gzVIbFDrOLRNGuJUiIdYsGoLXbvxNImIxyF2mvD3uCtY&#10;ju7RvWfyzWRadsbeNZYkiHkEDKm0uqFKwsf+dZYCc16RVq0llPCDDjbF9VWuMm1H2uJ55ysWSshl&#10;SkLtfZdx7soajXJz2yGF7GR7o3w4+4rrXo2h3LQ8jqIVN6qhsFCrDp9qLL92g5FweHvefw70IsZt&#10;58v35fddet8NUt7eTI8PwDxO/g+Gi35QhyI4He1A2rFWwkyIxSqwEtJ1kgC7IPEiFcCOEtbLJAZe&#10;5Pz/F8UvAAAA//8DAFBLAQItABQABgAIAAAAIQC2gziS/gAAAOEBAAATAAAAAAAAAAAAAAAAAAAA&#10;AABbQ29udGVudF9UeXBlc10ueG1sUEsBAi0AFAAGAAgAAAAhADj9If/WAAAAlAEAAAsAAAAAAAAA&#10;AAAAAAAALwEAAF9yZWxzLy5yZWxzUEsBAi0AFAAGAAgAAAAhAGNKEwMzAgAAqwQAAA4AAAAAAAAA&#10;AAAAAAAALgIAAGRycy9lMm9Eb2MueG1sUEsBAi0AFAAGAAgAAAAhANaDRAHkAAAADQEAAA8AAAAA&#10;AAAAAAAAAAAAjQQAAGRycy9kb3ducmV2LnhtbFBLBQYAAAAABAAEAPMAAACeBQAAAAA=&#10;" fillcolor="#d8d8d8 [2732]" strokecolor="#d8d8d8 [2732]"/>
                </w:pict>
              </mc:Fallback>
            </mc:AlternateContent>
          </w:r>
          <w:r w:rsidR="00D232DB">
            <w:rPr>
              <w:vertAlign w:val="subscript"/>
            </w:rPr>
            <w:br w:type="page"/>
          </w:r>
        </w:p>
      </w:sdtContent>
    </w:sdt>
    <w:p w14:paraId="58F4AF16" w14:textId="77777777" w:rsidR="009E2664" w:rsidRPr="0002455A" w:rsidRDefault="009E2664" w:rsidP="005629D7"/>
    <w:p w14:paraId="4C106ED9" w14:textId="77777777" w:rsidR="00DC3EA0" w:rsidRDefault="00DC3EA0" w:rsidP="00DC3EA0">
      <w:pPr>
        <w:pStyle w:val="Textbody"/>
        <w:spacing w:line="276" w:lineRule="auto"/>
        <w:rPr>
          <w:rFonts w:ascii="Calibri" w:hAnsi="Calibri"/>
          <w:b w:val="0"/>
          <w:color w:val="00000A"/>
        </w:rPr>
      </w:pPr>
      <w:r>
        <w:rPr>
          <w:rFonts w:ascii="Calibri" w:hAnsi="Calibri"/>
          <w:b w:val="0"/>
          <w:color w:val="00000A"/>
        </w:rPr>
        <w:t>Allgemeine Vorbemerkungen zur Synopse:</w:t>
      </w:r>
    </w:p>
    <w:p w14:paraId="2D7948D5" w14:textId="77777777" w:rsidR="00DC3EA0" w:rsidRDefault="00DC3EA0" w:rsidP="00DC3EA0">
      <w:pPr>
        <w:pStyle w:val="Listenabsatz"/>
        <w:numPr>
          <w:ilvl w:val="0"/>
          <w:numId w:val="2"/>
        </w:numPr>
        <w:spacing w:after="0"/>
      </w:pPr>
      <w:r>
        <w:t xml:space="preserve">Zahlreiche der in den folgenden vier Abschnitten genannten </w:t>
      </w:r>
      <w:r>
        <w:rPr>
          <w:b/>
          <w:color w:val="0000FF"/>
        </w:rPr>
        <w:t>Kompetenzen</w:t>
      </w:r>
      <w:r>
        <w:t xml:space="preserve"> werden im Laufe des lateinischen Lehrganges sukzessive erworben, erweitert und verfestigt.</w:t>
      </w:r>
    </w:p>
    <w:p w14:paraId="20EBF098" w14:textId="77777777" w:rsidR="00DC3EA0" w:rsidRDefault="00DC3EA0" w:rsidP="00DC3EA0">
      <w:pPr>
        <w:pStyle w:val="Listenabsatz"/>
        <w:numPr>
          <w:ilvl w:val="0"/>
          <w:numId w:val="2"/>
        </w:numPr>
        <w:spacing w:after="0"/>
      </w:pPr>
      <w:r>
        <w:t>Sie werden hier in den Vorspann aufgenommen und nicht mehr eigens in den einzelnen Lektionen erwähnt.</w:t>
      </w:r>
    </w:p>
    <w:p w14:paraId="1679A933" w14:textId="77777777" w:rsidR="00DC3EA0" w:rsidRDefault="00DC3EA0" w:rsidP="00DC3EA0">
      <w:pPr>
        <w:pStyle w:val="Listenabsatz"/>
        <w:numPr>
          <w:ilvl w:val="0"/>
          <w:numId w:val="2"/>
        </w:numPr>
        <w:spacing w:after="0"/>
      </w:pPr>
      <w:r>
        <w:t xml:space="preserve">Die </w:t>
      </w:r>
      <w:r>
        <w:rPr>
          <w:b/>
          <w:color w:val="0000FF"/>
        </w:rPr>
        <w:t>blauen Ziffern</w:t>
      </w:r>
      <w:r>
        <w:t xml:space="preserve"> beziehen sich auf die jeweiligen Seitenzahlen im Kerncurriculum.</w:t>
      </w:r>
    </w:p>
    <w:p w14:paraId="545CC2EC" w14:textId="77777777" w:rsidR="00DC3EA0" w:rsidRDefault="00DC3EA0" w:rsidP="00DC3EA0">
      <w:pPr>
        <w:pStyle w:val="Kopfzeile"/>
        <w:tabs>
          <w:tab w:val="clear" w:pos="4536"/>
          <w:tab w:val="clear" w:pos="9072"/>
        </w:tabs>
        <w:rPr>
          <w:sz w:val="28"/>
        </w:rPr>
      </w:pPr>
    </w:p>
    <w:p w14:paraId="05AEB6D2" w14:textId="77777777" w:rsidR="00DC3EA0" w:rsidRDefault="00DC3EA0" w:rsidP="00DC3EA0"/>
    <w:tbl>
      <w:tblPr>
        <w:tblW w:w="1459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47"/>
        <w:gridCol w:w="7449"/>
      </w:tblGrid>
      <w:tr w:rsidR="00DC3EA0" w14:paraId="38152067" w14:textId="77777777" w:rsidTr="00C75F2A">
        <w:trPr>
          <w:cantSplit/>
          <w:jc w:val="center"/>
        </w:trPr>
        <w:tc>
          <w:tcPr>
            <w:tcW w:w="71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A85D06" w14:textId="77777777" w:rsidR="00DC3EA0" w:rsidRDefault="00DC3EA0" w:rsidP="007B2BBF">
            <w:pPr>
              <w:pStyle w:val="berschrift2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lastRenderedPageBreak/>
              <w:t>Sprachkompetenz</w:t>
            </w:r>
          </w:p>
          <w:p w14:paraId="480574A3" w14:textId="77777777" w:rsidR="00DC3EA0" w:rsidRDefault="00DC3EA0" w:rsidP="007B2BBF">
            <w:pPr>
              <w:rPr>
                <w:rFonts w:eastAsia="Calibri" w:cs="Times New Roman"/>
              </w:rPr>
            </w:pPr>
          </w:p>
          <w:p w14:paraId="145879AB" w14:textId="77777777" w:rsidR="00DC3EA0" w:rsidRDefault="00DC3EA0" w:rsidP="007B2BBF">
            <w:pPr>
              <w:rPr>
                <w:rFonts w:eastAsia="Calibri" w:cs="Times New Roman"/>
                <w:b/>
                <w:bCs/>
              </w:rPr>
            </w:pPr>
            <w:r>
              <w:rPr>
                <w:rFonts w:eastAsia="Calibri" w:cs="Times New Roman"/>
                <w:b/>
                <w:bCs/>
              </w:rPr>
              <w:t>Die Schülerinnen und Schüler …</w:t>
            </w:r>
          </w:p>
          <w:p w14:paraId="2140508B" w14:textId="77777777" w:rsidR="00DC3EA0" w:rsidRDefault="00DC3EA0" w:rsidP="007B2BBF">
            <w:pPr>
              <w:rPr>
                <w:rFonts w:eastAsia="Calibri" w:cs="Times New Roman"/>
                <w:b/>
                <w:bCs/>
              </w:rPr>
            </w:pPr>
          </w:p>
          <w:p w14:paraId="3B5E998C" w14:textId="77777777" w:rsidR="00DC3EA0" w:rsidRDefault="00DC3EA0" w:rsidP="00DC3EA0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3333FF"/>
              </w:rPr>
              <w:t xml:space="preserve">(12) </w:t>
            </w:r>
            <w:r>
              <w:rPr>
                <w:rFonts w:eastAsia="Calibri" w:cs="Times New Roman"/>
                <w:color w:val="000000"/>
              </w:rPr>
              <w:t>kennen grundlegende Erscheinungen und Fachbegriffe aus den Bereichen Aussprache und Laute, Lexik/Semantik, Syntax und Morphologie.</w:t>
            </w:r>
          </w:p>
          <w:p w14:paraId="37355A6A" w14:textId="77777777" w:rsidR="00DC3EA0" w:rsidRDefault="00DC3EA0" w:rsidP="00DC3EA0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3333FF"/>
              </w:rPr>
              <w:t xml:space="preserve">(16) </w:t>
            </w:r>
            <w:r>
              <w:rPr>
                <w:rFonts w:eastAsia="Calibri" w:cs="Times New Roman"/>
              </w:rPr>
              <w:t>beherrschen auf den Erwerb und die Reflexion sprachlicher Mittel bezogene Strategien (Erschließung der Grammatik). → Neuer Grammatikstoff wird immer anhand eines kurzen Textes, der noch keinen neuen Wortschatz enthält, eingeführt. Farbige Markierungen und die zugehörigen Aufgaben helfen bei der selbstständigen Erschließung.</w:t>
            </w:r>
          </w:p>
          <w:p w14:paraId="14DA6416" w14:textId="77777777" w:rsidR="00DC3EA0" w:rsidRDefault="00DC3EA0" w:rsidP="00DC3EA0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3333FF"/>
              </w:rPr>
              <w:t xml:space="preserve">(16) </w:t>
            </w:r>
            <w:r>
              <w:rPr>
                <w:rFonts w:eastAsia="Calibri" w:cs="Times New Roman"/>
              </w:rPr>
              <w:t>beherrschen auf den Erwerb und die Reflexion sprachlicher Mittel bezogene Strategien (Erschließung der Wortbedeutung). → Auf der S. 169 wird die Erschließung aus dem Kontext erklärt, die vor allem auf den Wortschatz-Übungsseiten trainiert wird.</w:t>
            </w:r>
          </w:p>
          <w:p w14:paraId="193E4FB9" w14:textId="77777777" w:rsidR="00DC3EA0" w:rsidRDefault="00DC3EA0" w:rsidP="00DC3EA0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3333FF"/>
              </w:rPr>
              <w:t>(17)</w:t>
            </w:r>
            <w:r>
              <w:rPr>
                <w:rFonts w:eastAsia="Calibri" w:cs="Times New Roman"/>
              </w:rPr>
              <w:t xml:space="preserve"> beherrschen einen Grundwortschatz. → Im hinteren Teil des Buches steht zu jeder Lektion der Lernwortschatz. Neben Lernhilfen in der Wörterliste folgt stets eine komplette Seite mit Wortschatzübungen.</w:t>
            </w:r>
          </w:p>
          <w:p w14:paraId="06853ABC" w14:textId="77777777" w:rsidR="00DC3EA0" w:rsidRDefault="00DC3EA0" w:rsidP="007B2BBF">
            <w:pPr>
              <w:rPr>
                <w:rFonts w:eastAsia="Calibri" w:cs="Times New Roman"/>
              </w:rPr>
            </w:pPr>
          </w:p>
        </w:tc>
        <w:tc>
          <w:tcPr>
            <w:tcW w:w="74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2AFF8F" w14:textId="77777777" w:rsidR="00DC3EA0" w:rsidRDefault="00DC3EA0" w:rsidP="007B2BBF">
            <w:pPr>
              <w:pStyle w:val="berschrift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Textkompeten</w:t>
            </w:r>
            <w:r>
              <w:rPr>
                <w:rFonts w:ascii="Calibri" w:hAnsi="Calibri"/>
                <w:color w:val="3333FF"/>
                <w:sz w:val="28"/>
              </w:rPr>
              <w:t>z</w:t>
            </w:r>
          </w:p>
          <w:p w14:paraId="4C9AF2CE" w14:textId="77777777" w:rsidR="00DC3EA0" w:rsidRDefault="00DC3EA0" w:rsidP="007B2BBF">
            <w:pPr>
              <w:pStyle w:val="Textbody"/>
              <w:rPr>
                <w:rFonts w:ascii="Calibri" w:hAnsi="Calibri"/>
                <w:sz w:val="28"/>
              </w:rPr>
            </w:pPr>
          </w:p>
          <w:p w14:paraId="6F61AB37" w14:textId="77777777" w:rsidR="00DC3EA0" w:rsidRDefault="00DC3EA0" w:rsidP="007B2BBF">
            <w:pPr>
              <w:rPr>
                <w:b/>
              </w:rPr>
            </w:pPr>
            <w:r>
              <w:rPr>
                <w:b/>
              </w:rPr>
              <w:t>Die Schülerinnen und Schüler …</w:t>
            </w:r>
          </w:p>
          <w:p w14:paraId="10F249C8" w14:textId="77777777" w:rsidR="00DC3EA0" w:rsidRDefault="00DC3EA0" w:rsidP="00DC3EA0">
            <w:pPr>
              <w:numPr>
                <w:ilvl w:val="0"/>
                <w:numId w:val="3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(12)</w:t>
            </w:r>
            <w:r>
              <w:rPr>
                <w:rFonts w:eastAsia="Calibri" w:cs="Times New Roman"/>
                <w:color w:val="000000"/>
              </w:rPr>
              <w:t xml:space="preserve"> kennen die verschiedenen Typen von Informationsträgern (Kerninformationen und deren Ergänzungen) eines Textes und deren allgemeinen Sinngehalt.</w:t>
            </w:r>
          </w:p>
          <w:p w14:paraId="3A05273E" w14:textId="77777777" w:rsidR="00DC3EA0" w:rsidRDefault="00DC3EA0" w:rsidP="00DC3EA0">
            <w:pPr>
              <w:numPr>
                <w:ilvl w:val="0"/>
                <w:numId w:val="3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(12)</w:t>
            </w:r>
            <w:r>
              <w:rPr>
                <w:rFonts w:eastAsia="Calibri" w:cs="Times New Roman"/>
                <w:color w:val="000000"/>
              </w:rPr>
              <w:t xml:space="preserve"> lernen im Bereich der Textlinguistik wesentliche Formen der thematischen Entfaltung und der expliziten Wiederaufnahme kennen.</w:t>
            </w:r>
          </w:p>
          <w:p w14:paraId="72BF4817" w14:textId="77777777" w:rsidR="00DC3EA0" w:rsidRDefault="00DC3EA0" w:rsidP="00DC3EA0">
            <w:pPr>
              <w:numPr>
                <w:ilvl w:val="0"/>
                <w:numId w:val="3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(12)</w:t>
            </w:r>
            <w:r>
              <w:rPr>
                <w:rFonts w:eastAsia="Calibri" w:cs="Times New Roman"/>
                <w:color w:val="000000"/>
              </w:rPr>
              <w:t xml:space="preserve"> verbinden die einzelnen Verfahrensweisen der Dekodierung zunehmend zu komplexen Methoden des Textverstehens:</w:t>
            </w:r>
          </w:p>
          <w:p w14:paraId="2F3DA101" w14:textId="77777777" w:rsidR="00DC3EA0" w:rsidRDefault="00DC3EA0" w:rsidP="007B2BBF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→</w:t>
            </w:r>
            <w:r>
              <w:rPr>
                <w:rFonts w:eastAsia="Calibri" w:cs="Times New Roman"/>
                <w:color w:val="0000FF"/>
              </w:rPr>
              <w:t xml:space="preserve"> (13)</w:t>
            </w:r>
            <w:r>
              <w:rPr>
                <w:rFonts w:eastAsia="Calibri" w:cs="Times New Roman"/>
              </w:rPr>
              <w:t xml:space="preserve"> Durch die Präsentation jedes Lektionstextes mit einer Überschrift, einer deutschen Einleitung und einem Bild können die Schüler stets eine auf Textumfeld begründete Vermutung über den zu erwartenden Textinhalt anstellen.</w:t>
            </w:r>
          </w:p>
          <w:p w14:paraId="6A566692" w14:textId="77777777" w:rsidR="00DC3EA0" w:rsidRDefault="00DC3EA0" w:rsidP="007B2BBF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 xml:space="preserve">→ </w:t>
            </w:r>
            <w:r>
              <w:rPr>
                <w:rFonts w:eastAsia="Calibri" w:cs="Times New Roman"/>
                <w:color w:val="0000FF"/>
              </w:rPr>
              <w:t>(12)</w:t>
            </w:r>
            <w:r>
              <w:rPr>
                <w:rFonts w:eastAsia="Calibri" w:cs="Times New Roman"/>
              </w:rPr>
              <w:t xml:space="preserve"> Anhand zunehmend selbstständiger Untersuchungen der Oberflächenstruktur eines Textes erarbeiten die Schüler sich ein Netz plausibler Vermutungen über deren Inhalt. → siehe S. 129</w:t>
            </w:r>
          </w:p>
          <w:p w14:paraId="0FA9EC9F" w14:textId="77777777" w:rsidR="00DC3EA0" w:rsidRDefault="00DC3EA0" w:rsidP="007B2BBF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→</w:t>
            </w:r>
            <w:r>
              <w:rPr>
                <w:rFonts w:eastAsia="Calibri" w:cs="Times New Roman"/>
                <w:color w:val="0000FF"/>
              </w:rPr>
              <w:t xml:space="preserve"> (12)</w:t>
            </w:r>
            <w:r>
              <w:rPr>
                <w:rFonts w:eastAsia="Calibri" w:cs="Times New Roman"/>
              </w:rPr>
              <w:t xml:space="preserve"> Anhand zunehmend selbstständigen Untersuchungen der Tiefenstruktur eines Textes überprüfen sie ihre Vermutungen und erarbeiten sich ein der Intensität der Dekodierung entsprechend gesichertes Textverständnis. → siehe S. 128</w:t>
            </w:r>
          </w:p>
          <w:p w14:paraId="04E753BA" w14:textId="77777777" w:rsidR="00DC3EA0" w:rsidRDefault="00DC3EA0" w:rsidP="00DC3EA0">
            <w:pPr>
              <w:numPr>
                <w:ilvl w:val="0"/>
                <w:numId w:val="3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(12)</w:t>
            </w:r>
            <w:r>
              <w:rPr>
                <w:rFonts w:eastAsia="Calibri" w:cs="Times New Roman"/>
              </w:rPr>
              <w:t xml:space="preserve"> lernen Interpretation als methodisch gesicherte Relektüre unter definiertes Erkenntnisinteressen und wesentliche sachorientierte Interpretationsverfahren kennen.</w:t>
            </w:r>
          </w:p>
          <w:p w14:paraId="3983B062" w14:textId="77777777" w:rsidR="00DC3EA0" w:rsidRDefault="00DC3EA0" w:rsidP="00DC3EA0">
            <w:pPr>
              <w:numPr>
                <w:ilvl w:val="0"/>
                <w:numId w:val="3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(15)</w:t>
            </w:r>
            <w:r>
              <w:rPr>
                <w:rFonts w:eastAsia="Calibri" w:cs="Times New Roman"/>
              </w:rPr>
              <w:t xml:space="preserve"> übertragen Rekodierungsverfahren, indem sie einen dekodierten Text unter Berücksichtigung aller Informationsträger zielsprachenorientiert und strukturiert wiedergeben.</w:t>
            </w:r>
          </w:p>
          <w:p w14:paraId="0C1260B8" w14:textId="77777777" w:rsidR="00DC3EA0" w:rsidRDefault="00DC3EA0" w:rsidP="00DC3EA0">
            <w:pPr>
              <w:numPr>
                <w:ilvl w:val="0"/>
                <w:numId w:val="3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(16)</w:t>
            </w:r>
            <w:r>
              <w:rPr>
                <w:rFonts w:eastAsia="Calibri" w:cs="Times New Roman"/>
              </w:rPr>
              <w:t xml:space="preserve"> beherrschen Sprachverarbeitungsstrategien, die bei der rezeptiven Verarbeitung von Sprache eingesetzt werden (Lesen/Hören, Arbeitsergebnisse fixieren).</w:t>
            </w:r>
          </w:p>
        </w:tc>
      </w:tr>
      <w:tr w:rsidR="00DC3EA0" w14:paraId="084C0252" w14:textId="77777777" w:rsidTr="00C75F2A">
        <w:trPr>
          <w:cantSplit/>
          <w:jc w:val="center"/>
        </w:trPr>
        <w:tc>
          <w:tcPr>
            <w:tcW w:w="71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8D3AE" w14:textId="77777777" w:rsidR="00DC3EA0" w:rsidRDefault="00DC3EA0" w:rsidP="007B2BBF">
            <w:pPr>
              <w:pStyle w:val="berschrift2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lastRenderedPageBreak/>
              <w:t>Literatur- und Kulturkompetenz</w:t>
            </w:r>
          </w:p>
          <w:p w14:paraId="252D7FE5" w14:textId="77777777" w:rsidR="00DC3EA0" w:rsidRDefault="00DC3EA0" w:rsidP="007B2BBF"/>
          <w:p w14:paraId="5D904B2F" w14:textId="77777777" w:rsidR="00DC3EA0" w:rsidRDefault="00DC3EA0" w:rsidP="007B2BBF">
            <w:pPr>
              <w:rPr>
                <w:b/>
                <w:bCs/>
              </w:rPr>
            </w:pPr>
            <w:r>
              <w:rPr>
                <w:b/>
                <w:bCs/>
              </w:rPr>
              <w:t>Die Schülerinnen und Schüler …</w:t>
            </w:r>
          </w:p>
          <w:p w14:paraId="03A11F7F" w14:textId="77777777" w:rsidR="00DC3EA0" w:rsidRDefault="00DC3EA0" w:rsidP="007B2BBF">
            <w:pPr>
              <w:rPr>
                <w:color w:val="000000"/>
              </w:rPr>
            </w:pPr>
          </w:p>
          <w:p w14:paraId="5742014F" w14:textId="77777777" w:rsidR="00DC3EA0" w:rsidRDefault="00DC3EA0" w:rsidP="00DC3EA0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 xml:space="preserve">(18) </w:t>
            </w:r>
            <w:r>
              <w:rPr>
                <w:rFonts w:eastAsia="Calibri" w:cs="Times New Roman"/>
                <w:color w:val="000000"/>
              </w:rPr>
              <w:t>kennen wesentliche Textsorten.</w:t>
            </w:r>
          </w:p>
          <w:p w14:paraId="1A391A0E" w14:textId="77777777" w:rsidR="00DC3EA0" w:rsidRDefault="00DC3EA0" w:rsidP="00DC3EA0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 xml:space="preserve">(20) </w:t>
            </w:r>
            <w:r>
              <w:rPr>
                <w:rFonts w:eastAsia="Calibri" w:cs="Times New Roman"/>
                <w:color w:val="000000"/>
              </w:rPr>
              <w:t>gewinnen einen Einblick in das Fortwirken römischer Kultur in Sachsen, Deutschland und Europa, indem sie kulturelle Phänomene in diachronischer Sichtweise betrachten und bewerten. → Schon jede Einführungsseite in eine neue Lektion gibt Impulse zu einem möglichen Transfer zu unserer heutigen Lebenswelt.</w:t>
            </w:r>
          </w:p>
          <w:p w14:paraId="1BA94336" w14:textId="77777777" w:rsidR="00DC3EA0" w:rsidRDefault="00DC3EA0" w:rsidP="007B2BBF">
            <w:pPr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Zusätzliche „Gut zu wissen“- Doppelseiten bieten kultur- und realienkundliche Informationen zu folgenden Themenbereichen:</w:t>
            </w:r>
          </w:p>
          <w:p w14:paraId="478423F7" w14:textId="77777777" w:rsidR="00DC3EA0" w:rsidRDefault="00DC3EA0" w:rsidP="00DC3EA0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</w:pPr>
            <w:r>
              <w:rPr>
                <w:color w:val="0000FF"/>
              </w:rPr>
              <w:t xml:space="preserve">(19) </w:t>
            </w:r>
            <w:r>
              <w:t>gewinnen dank einiger bedeutender Bauwerke einen Einblick in die römische Kunst, Architektur und Technik. → S. 10/11</w:t>
            </w:r>
          </w:p>
          <w:p w14:paraId="3364A129" w14:textId="77777777" w:rsidR="00DC3EA0" w:rsidRDefault="00DC3EA0" w:rsidP="00DC3EA0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(19)</w:t>
            </w:r>
            <w:r>
              <w:rPr>
                <w:rFonts w:eastAsia="Calibri" w:cs="Times New Roman"/>
              </w:rPr>
              <w:t xml:space="preserve"> gewinnen einen Einblick in das römische Alltagsleben (Wohnen und Leben). → S. 20-23</w:t>
            </w:r>
          </w:p>
          <w:p w14:paraId="368760FC" w14:textId="77777777" w:rsidR="00DC3EA0" w:rsidRDefault="00DC3EA0" w:rsidP="00DC3EA0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(19)</w:t>
            </w:r>
            <w:r>
              <w:rPr>
                <w:rFonts w:eastAsia="Calibri" w:cs="Times New Roman"/>
              </w:rPr>
              <w:t xml:space="preserve"> gewinnen einen Einblick in das römische Alltagsleben (Freizeit und Spiele). → S. 32-33</w:t>
            </w:r>
          </w:p>
          <w:p w14:paraId="02A07B24" w14:textId="77777777" w:rsidR="00DC3EA0" w:rsidRDefault="00DC3EA0" w:rsidP="00DC3EA0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(19)</w:t>
            </w:r>
            <w:r>
              <w:rPr>
                <w:rFonts w:eastAsia="Calibri" w:cs="Times New Roman"/>
              </w:rPr>
              <w:t xml:space="preserve"> gewinnen einen Einblick in wesentliche Aspekte der antiken Mythologie und Religion (Grundstrukturen antiker Religiosität, griechisch-römische Mythenkreise). → S. 44-45</w:t>
            </w:r>
          </w:p>
          <w:p w14:paraId="61A0D484" w14:textId="77777777" w:rsidR="00DC3EA0" w:rsidRDefault="00DC3EA0" w:rsidP="00DC3EA0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(19)</w:t>
            </w:r>
            <w:r>
              <w:rPr>
                <w:rFonts w:eastAsia="Calibri" w:cs="Times New Roman"/>
              </w:rPr>
              <w:t xml:space="preserve"> gewinnen einen Einblick in die politische und gesellschaftliche Struktur und Organisation des römischen Staates und in das römische Rechtssystem (politische und gesellschaftliche Strukturen, Ausdehnung des römischen Reiches). → S. 64-65, S. 74-75</w:t>
            </w:r>
          </w:p>
          <w:p w14:paraId="7205ADE2" w14:textId="77777777" w:rsidR="00DC3EA0" w:rsidRDefault="00DC3EA0" w:rsidP="00DC3EA0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(19)</w:t>
            </w:r>
            <w:r>
              <w:rPr>
                <w:rFonts w:eastAsia="Calibri" w:cs="Times New Roman"/>
              </w:rPr>
              <w:t xml:space="preserve"> gewinnen einen Einblick in wesentliche Ereignisse der römischen Geschichte (Epochen, Persönlichkeiten). → S. 64-65, S. 74-75</w:t>
            </w:r>
          </w:p>
        </w:tc>
        <w:tc>
          <w:tcPr>
            <w:tcW w:w="74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CB774" w14:textId="77777777" w:rsidR="00DC3EA0" w:rsidRDefault="00DC3EA0" w:rsidP="007B2BBF">
            <w:pPr>
              <w:pStyle w:val="berschrift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Sprachlernkompetenz und Sprachbewusstheit / Sprachreflexion</w:t>
            </w:r>
          </w:p>
          <w:p w14:paraId="3A46BCD3" w14:textId="77777777" w:rsidR="00DC3EA0" w:rsidRDefault="00DC3EA0" w:rsidP="007B2BBF">
            <w:pPr>
              <w:pStyle w:val="Textbody"/>
              <w:rPr>
                <w:rFonts w:ascii="Calibri" w:hAnsi="Calibri"/>
                <w:sz w:val="28"/>
              </w:rPr>
            </w:pPr>
          </w:p>
          <w:p w14:paraId="46C6C2C5" w14:textId="77777777" w:rsidR="00DC3EA0" w:rsidRDefault="00DC3EA0" w:rsidP="007B2BBF">
            <w:pPr>
              <w:rPr>
                <w:b/>
                <w:bCs/>
              </w:rPr>
            </w:pPr>
            <w:r>
              <w:rPr>
                <w:b/>
                <w:bCs/>
              </w:rPr>
              <w:t>Die Schülerinnen und Schüler ….</w:t>
            </w:r>
          </w:p>
          <w:p w14:paraId="522ACA6B" w14:textId="77777777" w:rsidR="00DC3EA0" w:rsidRDefault="00DC3EA0" w:rsidP="00DC3EA0">
            <w:pPr>
              <w:numPr>
                <w:ilvl w:val="0"/>
                <w:numId w:val="3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(16)</w:t>
            </w:r>
            <w:r>
              <w:rPr>
                <w:rFonts w:eastAsia="Calibri" w:cs="Times New Roman"/>
              </w:rPr>
              <w:t xml:space="preserve"> kennen Veränderungsoperationen bei der Rekodierung, die durch strukturelle Differenzen zwischen Ziel- und Ausgangssprache bedingt sind (Veränderungen innerhalb der Kategorie, Kategorienwechsel, interpretierende Wiedergabe). → Am Ende der Übungsseite jeder Lektion steht unter der Überschrift „Auf Deutsch“ ein kurzer Text, der explizit zum Vergleich des Lateinischen mit der deutschen Sprache einlädt.</w:t>
            </w:r>
          </w:p>
          <w:p w14:paraId="4EA45651" w14:textId="77777777" w:rsidR="00DC3EA0" w:rsidRDefault="00DC3EA0" w:rsidP="00DC3EA0">
            <w:pPr>
              <w:numPr>
                <w:ilvl w:val="0"/>
                <w:numId w:val="3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 xml:space="preserve">(16) </w:t>
            </w:r>
            <w:r>
              <w:rPr>
                <w:rFonts w:eastAsia="Calibri" w:cs="Times New Roman"/>
              </w:rPr>
              <w:t>beherrschen auf das Lernen bezogene Strategien:</w:t>
            </w:r>
          </w:p>
          <w:p w14:paraId="11904D67" w14:textId="77777777" w:rsidR="00DC3EA0" w:rsidRDefault="00DC3EA0" w:rsidP="007B2BBF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 xml:space="preserve">       → Sie gehen sicher mit dem Lehrbuch um.</w:t>
            </w:r>
          </w:p>
          <w:p w14:paraId="67F61213" w14:textId="77777777" w:rsidR="00DC3EA0" w:rsidRDefault="00DC3EA0" w:rsidP="007B2BBF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 xml:space="preserve">       → Sie beschaffen Informationen, werten sie aus und bewerten sie.</w:t>
            </w:r>
          </w:p>
          <w:p w14:paraId="662062CE" w14:textId="77777777" w:rsidR="00DC3EA0" w:rsidRDefault="00DC3EA0" w:rsidP="007B2BBF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 xml:space="preserve">       → Sie kooperieren.</w:t>
            </w:r>
          </w:p>
          <w:p w14:paraId="037B5500" w14:textId="77777777" w:rsidR="00DC3EA0" w:rsidRDefault="00DC3EA0" w:rsidP="007B2BBF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 xml:space="preserve">       → Sie kennen verschiedene Techniken der schriftlichen, mündlichen und</w:t>
            </w:r>
          </w:p>
          <w:p w14:paraId="2D78A483" w14:textId="77777777" w:rsidR="00DC3EA0" w:rsidRDefault="00DC3EA0" w:rsidP="007B2BBF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 xml:space="preserve">   visuellen Präsentation von Gegenständen.</w:t>
            </w:r>
          </w:p>
        </w:tc>
      </w:tr>
    </w:tbl>
    <w:p w14:paraId="6701B743" w14:textId="77777777" w:rsidR="00DC3EA0" w:rsidRDefault="00DC3EA0" w:rsidP="00DC3EA0">
      <w:pPr>
        <w:rPr>
          <w:rFonts w:eastAsia="Calibri" w:cs="Times New Roman"/>
        </w:rPr>
      </w:pPr>
    </w:p>
    <w:p w14:paraId="47E07D60" w14:textId="77777777" w:rsidR="00DC3EA0" w:rsidRDefault="00DC3EA0" w:rsidP="00DC3EA0">
      <w:pPr>
        <w:rPr>
          <w:rFonts w:eastAsia="Calibri" w:cs="Times New Roman"/>
        </w:rPr>
      </w:pPr>
    </w:p>
    <w:p w14:paraId="0A36A545" w14:textId="77777777" w:rsidR="00DC3EA0" w:rsidRDefault="00DC3EA0" w:rsidP="00DC3EA0">
      <w:pPr>
        <w:rPr>
          <w:rFonts w:eastAsia="Calibri" w:cs="Times New Roman"/>
        </w:rPr>
      </w:pPr>
    </w:p>
    <w:p w14:paraId="6D6EEFED" w14:textId="77777777" w:rsidR="00DC3EA0" w:rsidRDefault="00DC3EA0" w:rsidP="00DC3EA0">
      <w:pPr>
        <w:rPr>
          <w:rFonts w:eastAsia="Calibri" w:cs="Times New Roman"/>
        </w:rPr>
      </w:pPr>
    </w:p>
    <w:p w14:paraId="53F74936" w14:textId="77777777" w:rsidR="00DC3EA0" w:rsidRDefault="00DC3EA0" w:rsidP="00DC3EA0">
      <w:pPr>
        <w:rPr>
          <w:rFonts w:eastAsia="Calibri" w:cs="Times New Roman"/>
        </w:rPr>
      </w:pPr>
    </w:p>
    <w:tbl>
      <w:tblPr>
        <w:tblW w:w="1440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00"/>
        <w:gridCol w:w="2726"/>
        <w:gridCol w:w="8582"/>
      </w:tblGrid>
      <w:tr w:rsidR="00DC3EA0" w14:paraId="6ED50FC5" w14:textId="77777777" w:rsidTr="007B2BBF">
        <w:trPr>
          <w:cantSplit/>
          <w:jc w:val="center"/>
        </w:trPr>
        <w:tc>
          <w:tcPr>
            <w:tcW w:w="310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C08F08" w14:textId="77777777" w:rsidR="00DC3EA0" w:rsidRDefault="00DC3EA0" w:rsidP="007B2BBF">
            <w:pPr>
              <w:keepNext/>
              <w:outlineLvl w:val="3"/>
              <w:rPr>
                <w:rFonts w:eastAsia="Calibri" w:cs="Times New Roman"/>
                <w:b/>
                <w:color w:val="C00000"/>
                <w:sz w:val="32"/>
              </w:rPr>
            </w:pPr>
            <w:r>
              <w:rPr>
                <w:rFonts w:eastAsia="Calibri" w:cs="Times New Roman"/>
                <w:b/>
                <w:color w:val="C00000"/>
                <w:sz w:val="32"/>
              </w:rPr>
              <w:t>Lektion 1</w:t>
            </w:r>
          </w:p>
          <w:p w14:paraId="063C0DC3" w14:textId="77777777" w:rsidR="00DC3EA0" w:rsidRDefault="00DC3EA0" w:rsidP="007B2BBF">
            <w:pPr>
              <w:rPr>
                <w:rFonts w:eastAsia="Calibri" w:cs="Times New Roman"/>
                <w:color w:val="C00000"/>
              </w:rPr>
            </w:pPr>
            <w:r>
              <w:rPr>
                <w:rFonts w:eastAsia="Calibri" w:cs="Times New Roman"/>
                <w:color w:val="C00000"/>
              </w:rPr>
              <w:t>Sieg im Circus Maximus</w:t>
            </w:r>
          </w:p>
          <w:p w14:paraId="48E89BE0" w14:textId="77777777" w:rsidR="00DC3EA0" w:rsidRDefault="00DC3EA0" w:rsidP="007B2BBF">
            <w:pPr>
              <w:rPr>
                <w:rFonts w:eastAsia="Calibri" w:cs="Times New Roman"/>
                <w:b/>
              </w:rPr>
            </w:pPr>
          </w:p>
          <w:p w14:paraId="1EB0B665" w14:textId="77777777" w:rsidR="00DC3EA0" w:rsidRDefault="00DC3EA0" w:rsidP="007B2BBF">
            <w:pPr>
              <w:rPr>
                <w:rFonts w:eastAsia="Calibri" w:cs="Times New Roman"/>
                <w:b/>
                <w:spacing w:val="60"/>
              </w:rPr>
            </w:pPr>
            <w:r>
              <w:rPr>
                <w:rFonts w:eastAsia="Calibri" w:cs="Times New Roman"/>
                <w:b/>
                <w:spacing w:val="60"/>
              </w:rPr>
              <w:t>Formen</w:t>
            </w:r>
          </w:p>
          <w:p w14:paraId="7C52083F" w14:textId="77777777" w:rsidR="00DC3EA0" w:rsidRDefault="00DC3EA0" w:rsidP="007B2BBF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1) Substantive: Der Nominativ</w:t>
            </w:r>
          </w:p>
          <w:p w14:paraId="721344A2" w14:textId="77777777" w:rsidR="00DC3EA0" w:rsidRDefault="00DC3EA0" w:rsidP="007B2BBF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2) Verben: Die 3. Person</w:t>
            </w:r>
          </w:p>
          <w:p w14:paraId="683CDC7B" w14:textId="77777777" w:rsidR="00DC3EA0" w:rsidRDefault="00DC3EA0" w:rsidP="007B2BBF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3) Verben: Der Infinitiv Präsens</w:t>
            </w: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E34E9A" w14:textId="77777777" w:rsidR="00DC3EA0" w:rsidRDefault="00DC3EA0" w:rsidP="007B2BBF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Sprachkompetenz</w:t>
            </w:r>
          </w:p>
        </w:tc>
        <w:tc>
          <w:tcPr>
            <w:tcW w:w="8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4B1D5A" w14:textId="77777777" w:rsidR="00DC3EA0" w:rsidRDefault="00DC3EA0" w:rsidP="00DC3EA0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(18)</w:t>
            </w:r>
            <w:r>
              <w:rPr>
                <w:rFonts w:eastAsia="Calibri" w:cs="Times New Roman"/>
                <w:color w:val="3333FF"/>
              </w:rPr>
              <w:t xml:space="preserve"> </w:t>
            </w:r>
            <w:r>
              <w:rPr>
                <w:rFonts w:eastAsia="Calibri" w:cs="Times New Roman"/>
              </w:rPr>
              <w:t>beherrschen die Formenlehre des Verbs (siehe links). → S. 15, S. 90/F2+F3</w:t>
            </w:r>
          </w:p>
          <w:p w14:paraId="44B1AA0A" w14:textId="77777777" w:rsidR="00DC3EA0" w:rsidRDefault="00DC3EA0" w:rsidP="00DC3EA0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(18)</w:t>
            </w:r>
            <w:r>
              <w:rPr>
                <w:rFonts w:eastAsia="Calibri" w:cs="Times New Roman"/>
              </w:rPr>
              <w:t xml:space="preserve"> beherrschen die Formenlehre des Substantivs (siehe links).  → S.1 4, S. 89/F1</w:t>
            </w:r>
          </w:p>
        </w:tc>
      </w:tr>
      <w:tr w:rsidR="00DC3EA0" w14:paraId="69166BC9" w14:textId="77777777" w:rsidTr="007B2BBF">
        <w:trPr>
          <w:cantSplit/>
          <w:jc w:val="center"/>
        </w:trPr>
        <w:tc>
          <w:tcPr>
            <w:tcW w:w="31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AFACA" w14:textId="77777777" w:rsidR="00DC3EA0" w:rsidRDefault="00DC3EA0" w:rsidP="007B2BBF">
            <w:pPr>
              <w:widowControl w:val="0"/>
            </w:pP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40BE5" w14:textId="77777777" w:rsidR="00DC3EA0" w:rsidRDefault="00DC3EA0" w:rsidP="007B2BBF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Textkompetenz</w:t>
            </w:r>
          </w:p>
        </w:tc>
        <w:tc>
          <w:tcPr>
            <w:tcW w:w="8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493B6A" w14:textId="77777777" w:rsidR="00DC3EA0" w:rsidRDefault="00DC3EA0" w:rsidP="00DC3EA0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(13)</w:t>
            </w:r>
            <w:r>
              <w:rPr>
                <w:rFonts w:eastAsia="Calibri" w:cs="Times New Roman"/>
              </w:rPr>
              <w:t xml:space="preserve"> übertragen Dekodierungsverfahren, indem sie eine auf Textumfeld (Bild) begründete Vermutung über den zu erwartenden Textinhalt anstellen.  → S. 13/1</w:t>
            </w:r>
          </w:p>
          <w:p w14:paraId="5E792893" w14:textId="77777777" w:rsidR="00DC3EA0" w:rsidRDefault="00DC3EA0" w:rsidP="00DC3EA0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(15)</w:t>
            </w:r>
            <w:r>
              <w:rPr>
                <w:rFonts w:eastAsia="Calibri" w:cs="Times New Roman"/>
              </w:rPr>
              <w:t xml:space="preserve"> gewinnen einen Einblick in Interpretationsverfahren, indem sie Textelemente inhaltlich und formal in den Textzusammenhang einordnen (Sätze einer Zeichnung zuordnen, Charakterisierung der Personen). → S. 13/2+3</w:t>
            </w:r>
          </w:p>
        </w:tc>
      </w:tr>
      <w:tr w:rsidR="00DC3EA0" w14:paraId="6814C6DC" w14:textId="77777777" w:rsidTr="007B2BBF">
        <w:trPr>
          <w:cantSplit/>
          <w:jc w:val="center"/>
        </w:trPr>
        <w:tc>
          <w:tcPr>
            <w:tcW w:w="31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1FCCD" w14:textId="77777777" w:rsidR="00DC3EA0" w:rsidRDefault="00DC3EA0" w:rsidP="007B2BBF">
            <w:pPr>
              <w:widowControl w:val="0"/>
            </w:pP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BC04D6" w14:textId="77777777" w:rsidR="00DC3EA0" w:rsidRDefault="00DC3EA0" w:rsidP="007B2BBF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Literatur- und Kulturkompetenz</w:t>
            </w:r>
          </w:p>
        </w:tc>
        <w:tc>
          <w:tcPr>
            <w:tcW w:w="8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260B4" w14:textId="77777777" w:rsidR="00DC3EA0" w:rsidRDefault="00DC3EA0" w:rsidP="00DC3EA0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</w:pPr>
            <w:r>
              <w:rPr>
                <w:color w:val="0000FF"/>
              </w:rPr>
              <w:t>(19)</w:t>
            </w:r>
            <w:r>
              <w:t xml:space="preserve"> gewinnen einen Einblick in das römische Alltagsleben (Freizeit und Spiele).</w:t>
            </w:r>
          </w:p>
        </w:tc>
      </w:tr>
      <w:tr w:rsidR="00DC3EA0" w14:paraId="5AAFB6B4" w14:textId="77777777" w:rsidTr="007B2BBF">
        <w:trPr>
          <w:cantSplit/>
          <w:trHeight w:val="64"/>
          <w:jc w:val="center"/>
        </w:trPr>
        <w:tc>
          <w:tcPr>
            <w:tcW w:w="31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1DCE4D" w14:textId="77777777" w:rsidR="00DC3EA0" w:rsidRDefault="00DC3EA0" w:rsidP="007B2BBF">
            <w:pPr>
              <w:widowControl w:val="0"/>
            </w:pP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80146D" w14:textId="77777777" w:rsidR="00DC3EA0" w:rsidRDefault="00DC3EA0" w:rsidP="007B2BBF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Sprachlernkompetenz und Sprachbewusstheit / Sprachreflexion</w:t>
            </w:r>
          </w:p>
        </w:tc>
        <w:tc>
          <w:tcPr>
            <w:tcW w:w="8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9C52C5" w14:textId="77777777" w:rsidR="00DC3EA0" w:rsidRDefault="00DC3EA0" w:rsidP="00DC3EA0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(16)</w:t>
            </w:r>
            <w:r>
              <w:rPr>
                <w:rFonts w:eastAsia="Calibri" w:cs="Times New Roman"/>
              </w:rPr>
              <w:t xml:space="preserve"> beherrschen auf das Lernen bezogene Strategien (Mnemotechniken – Lerntechniken kennen). → S. 91/M</w:t>
            </w:r>
          </w:p>
          <w:p w14:paraId="4620281D" w14:textId="77777777" w:rsidR="00DC3EA0" w:rsidRDefault="00DC3EA0" w:rsidP="00DC3EA0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(17)</w:t>
            </w:r>
            <w:r>
              <w:rPr>
                <w:rFonts w:eastAsia="Calibri" w:cs="Times New Roman"/>
              </w:rPr>
              <w:t xml:space="preserve"> übertragen lateinische Lexikkenntnisse auf andere Sprachen. → S. 15/H</w:t>
            </w:r>
          </w:p>
        </w:tc>
      </w:tr>
    </w:tbl>
    <w:p w14:paraId="2200ECE3" w14:textId="77777777" w:rsidR="00DC3EA0" w:rsidRDefault="00DC3EA0" w:rsidP="00DC3EA0">
      <w:pPr>
        <w:rPr>
          <w:rFonts w:eastAsia="Calibri" w:cs="Times New Roman"/>
        </w:rPr>
      </w:pPr>
    </w:p>
    <w:p w14:paraId="188C7D9C" w14:textId="77777777" w:rsidR="00DC3EA0" w:rsidRDefault="00DC3EA0" w:rsidP="00DC3EA0">
      <w:pPr>
        <w:rPr>
          <w:vanish/>
        </w:rPr>
      </w:pPr>
      <w:r>
        <w:br w:type="page"/>
      </w:r>
    </w:p>
    <w:tbl>
      <w:tblPr>
        <w:tblpPr w:leftFromText="141" w:rightFromText="141" w:horzAnchor="margin" w:tblpY="472"/>
        <w:tblW w:w="144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00"/>
        <w:gridCol w:w="2726"/>
        <w:gridCol w:w="8582"/>
      </w:tblGrid>
      <w:tr w:rsidR="00DC3EA0" w14:paraId="29ADE7EE" w14:textId="77777777" w:rsidTr="00C75F2A">
        <w:trPr>
          <w:cantSplit/>
        </w:trPr>
        <w:tc>
          <w:tcPr>
            <w:tcW w:w="310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BB858A" w14:textId="77777777" w:rsidR="00DC3EA0" w:rsidRDefault="00DC3EA0" w:rsidP="00C75F2A">
            <w:pPr>
              <w:keepNext/>
              <w:outlineLvl w:val="3"/>
              <w:rPr>
                <w:rFonts w:eastAsia="Calibri" w:cs="Times New Roman"/>
                <w:b/>
                <w:color w:val="C00000"/>
                <w:sz w:val="32"/>
              </w:rPr>
            </w:pPr>
            <w:r>
              <w:rPr>
                <w:rFonts w:eastAsia="Calibri" w:cs="Times New Roman"/>
                <w:b/>
                <w:color w:val="C00000"/>
                <w:sz w:val="32"/>
              </w:rPr>
              <w:t>Lektion 2</w:t>
            </w:r>
          </w:p>
          <w:p w14:paraId="14FEDDFF" w14:textId="77777777" w:rsidR="00DC3EA0" w:rsidRDefault="00DC3EA0" w:rsidP="00C75F2A">
            <w:pPr>
              <w:rPr>
                <w:rFonts w:eastAsia="Calibri" w:cs="Times New Roman"/>
                <w:color w:val="C00000"/>
              </w:rPr>
            </w:pPr>
            <w:r>
              <w:rPr>
                <w:rFonts w:eastAsia="Calibri" w:cs="Times New Roman"/>
                <w:color w:val="C00000"/>
              </w:rPr>
              <w:t>Möhren weisen den Weg</w:t>
            </w:r>
          </w:p>
          <w:p w14:paraId="10973178" w14:textId="77777777" w:rsidR="00DC3EA0" w:rsidRDefault="00DC3EA0" w:rsidP="00C75F2A">
            <w:pPr>
              <w:rPr>
                <w:rFonts w:eastAsia="Calibri" w:cs="Times New Roman"/>
                <w:b/>
              </w:rPr>
            </w:pPr>
          </w:p>
          <w:p w14:paraId="1351740E" w14:textId="77777777" w:rsidR="00DC3EA0" w:rsidRDefault="00DC3EA0" w:rsidP="00C75F2A">
            <w:pPr>
              <w:rPr>
                <w:rFonts w:eastAsia="Calibri" w:cs="Times New Roman"/>
                <w:b/>
                <w:spacing w:val="60"/>
              </w:rPr>
            </w:pPr>
            <w:r>
              <w:rPr>
                <w:rFonts w:eastAsia="Calibri" w:cs="Times New Roman"/>
                <w:b/>
                <w:spacing w:val="60"/>
              </w:rPr>
              <w:t>Formen</w:t>
            </w:r>
          </w:p>
          <w:p w14:paraId="36DDFE0D" w14:textId="77777777" w:rsidR="00DC3EA0" w:rsidRDefault="00DC3EA0" w:rsidP="00C75F2A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1) Substantive: Der Akkusativ</w:t>
            </w:r>
          </w:p>
          <w:p w14:paraId="7D67FEB4" w14:textId="77777777" w:rsidR="00DC3EA0" w:rsidRDefault="00DC3EA0" w:rsidP="00C75F2A">
            <w:pPr>
              <w:rPr>
                <w:b/>
                <w:spacing w:val="60"/>
              </w:rPr>
            </w:pPr>
            <w:r>
              <w:rPr>
                <w:b/>
                <w:spacing w:val="60"/>
              </w:rPr>
              <w:t>Syntax</w:t>
            </w:r>
          </w:p>
          <w:p w14:paraId="19A33242" w14:textId="77777777" w:rsidR="00DC3EA0" w:rsidRDefault="00DC3EA0" w:rsidP="00C75F2A">
            <w:r>
              <w:t>1) Das Subjekt und das Prädikat</w:t>
            </w:r>
          </w:p>
          <w:p w14:paraId="24CBD2FD" w14:textId="77777777" w:rsidR="00DC3EA0" w:rsidRDefault="00DC3EA0" w:rsidP="00C75F2A">
            <w:r>
              <w:t>2) Der Akkusativ als Objekt</w:t>
            </w:r>
          </w:p>
          <w:p w14:paraId="3A69F28D" w14:textId="77777777" w:rsidR="00DC3EA0" w:rsidRDefault="00DC3EA0" w:rsidP="00C75F2A">
            <w:r>
              <w:t>3) Der Präpositionalausdruck als Adverbiale</w:t>
            </w: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8ADF5F" w14:textId="77777777" w:rsidR="00DC3EA0" w:rsidRDefault="00DC3EA0" w:rsidP="00C75F2A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Sprachkompetenz</w:t>
            </w:r>
          </w:p>
        </w:tc>
        <w:tc>
          <w:tcPr>
            <w:tcW w:w="8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7F251" w14:textId="77777777" w:rsidR="00DC3EA0" w:rsidRDefault="00DC3EA0" w:rsidP="00C75F2A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</w:pPr>
            <w:r>
              <w:rPr>
                <w:color w:val="0000FF"/>
              </w:rPr>
              <w:t>(18)</w:t>
            </w:r>
            <w:r>
              <w:t xml:space="preserve"> b</w:t>
            </w:r>
            <w:r>
              <w:rPr>
                <w:rFonts w:eastAsia="Calibri" w:cs="Times New Roman"/>
              </w:rPr>
              <w:t>eherrschen die Formenlehre des Substantivs (siehe links). → S. 18, S.95/F1</w:t>
            </w:r>
          </w:p>
          <w:p w14:paraId="7D07C6BE" w14:textId="77777777" w:rsidR="00DC3EA0" w:rsidRDefault="00DC3EA0" w:rsidP="00C75F2A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(17)</w:t>
            </w:r>
            <w:r>
              <w:rPr>
                <w:rFonts w:eastAsia="Calibri" w:cs="Times New Roman"/>
              </w:rPr>
              <w:t xml:space="preserve"> kennen die Kasusbedeutung (Objektsakkusativ, Akkusativ der Richtung). → S. 18, S. 95-96/S2+S3</w:t>
            </w:r>
          </w:p>
          <w:p w14:paraId="2E606581" w14:textId="77777777" w:rsidR="00DC3EA0" w:rsidRDefault="00DC3EA0" w:rsidP="00C75F2A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(18)</w:t>
            </w:r>
            <w:r>
              <w:rPr>
                <w:rFonts w:eastAsia="Calibri" w:cs="Times New Roman"/>
              </w:rPr>
              <w:t xml:space="preserve"> beherrschen die Formenlehre des Verbs (kongruent zum Subjekt). → S. 19/F, S. 95/S1</w:t>
            </w:r>
          </w:p>
          <w:p w14:paraId="4322D0B7" w14:textId="77777777" w:rsidR="00DC3EA0" w:rsidRDefault="00DC3EA0" w:rsidP="00C75F2A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(17)</w:t>
            </w:r>
            <w:r>
              <w:rPr>
                <w:rFonts w:eastAsia="Calibri" w:cs="Times New Roman"/>
              </w:rPr>
              <w:t xml:space="preserve"> beherrschen die Wortarten → S. 18/C, S. 19/E</w:t>
            </w:r>
          </w:p>
        </w:tc>
      </w:tr>
      <w:tr w:rsidR="00DC3EA0" w14:paraId="289BBA4B" w14:textId="77777777" w:rsidTr="00C75F2A">
        <w:trPr>
          <w:cantSplit/>
        </w:trPr>
        <w:tc>
          <w:tcPr>
            <w:tcW w:w="31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75B13" w14:textId="77777777" w:rsidR="00DC3EA0" w:rsidRDefault="00DC3EA0" w:rsidP="00C75F2A">
            <w:pPr>
              <w:widowControl w:val="0"/>
            </w:pP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5D9191" w14:textId="77777777" w:rsidR="00DC3EA0" w:rsidRDefault="00DC3EA0" w:rsidP="00C75F2A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Textkompetenz</w:t>
            </w:r>
          </w:p>
        </w:tc>
        <w:tc>
          <w:tcPr>
            <w:tcW w:w="8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A61AD9" w14:textId="77777777" w:rsidR="00DC3EA0" w:rsidRDefault="00DC3EA0" w:rsidP="00C75F2A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(14)</w:t>
            </w:r>
            <w:r>
              <w:rPr>
                <w:rFonts w:eastAsia="Calibri" w:cs="Times New Roman"/>
              </w:rPr>
              <w:t xml:space="preserve"> übertragen Dekodierungsverfahren, indem sie eine auf vorherrschende Textmerkmale (Eigennamen) begründete Hypothesenbildung zum wahrscheinlichen Textinhalt anstellen. → S. 17/1</w:t>
            </w:r>
          </w:p>
          <w:p w14:paraId="5160F95B" w14:textId="77777777" w:rsidR="00DC3EA0" w:rsidRDefault="00DC3EA0" w:rsidP="00C75F2A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(15)</w:t>
            </w:r>
            <w:r>
              <w:rPr>
                <w:rFonts w:eastAsia="Calibri" w:cs="Times New Roman"/>
              </w:rPr>
              <w:t xml:space="preserve"> gewinnen einen Einblick in Interpretationsverfahren, indem sie den Aufbau des Textes begründend analysieren (Subjektwechsel). → S. 17/3</w:t>
            </w:r>
          </w:p>
          <w:p w14:paraId="104B0216" w14:textId="77777777" w:rsidR="00DC3EA0" w:rsidRDefault="00DC3EA0" w:rsidP="00C75F2A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(15)</w:t>
            </w:r>
            <w:r>
              <w:rPr>
                <w:rFonts w:eastAsia="Calibri" w:cs="Times New Roman"/>
              </w:rPr>
              <w:t xml:space="preserve"> gewinnen einen Einblick in Interpretationsverfahren, indem sie Textelemente inhaltlich und formal in den Textzusammenhang einordnen (Sätze vervollständigen). → S.17/2</w:t>
            </w:r>
          </w:p>
        </w:tc>
      </w:tr>
      <w:tr w:rsidR="00DC3EA0" w14:paraId="62FF42B9" w14:textId="77777777" w:rsidTr="00C75F2A">
        <w:trPr>
          <w:cantSplit/>
        </w:trPr>
        <w:tc>
          <w:tcPr>
            <w:tcW w:w="31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6A0D7" w14:textId="77777777" w:rsidR="00DC3EA0" w:rsidRDefault="00DC3EA0" w:rsidP="00C75F2A">
            <w:pPr>
              <w:widowControl w:val="0"/>
            </w:pP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9550E4" w14:textId="77777777" w:rsidR="00DC3EA0" w:rsidRDefault="00DC3EA0" w:rsidP="00C75F2A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Literatur- und Kulturkompetenz</w:t>
            </w:r>
          </w:p>
        </w:tc>
        <w:tc>
          <w:tcPr>
            <w:tcW w:w="8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4D0D2C" w14:textId="77777777" w:rsidR="00DC3EA0" w:rsidRDefault="00DC3EA0" w:rsidP="00C75F2A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(19)</w:t>
            </w:r>
            <w:r>
              <w:rPr>
                <w:rFonts w:eastAsia="Calibri" w:cs="Times New Roman"/>
              </w:rPr>
              <w:t xml:space="preserve"> gewinnen dank einiger Gebäudetypen, ihre Merkmale und Funktionen einen Einblick in die römische Kunst, Architektur und Technik.</w:t>
            </w:r>
          </w:p>
        </w:tc>
      </w:tr>
      <w:tr w:rsidR="00DC3EA0" w14:paraId="71AFA861" w14:textId="77777777" w:rsidTr="00C75F2A">
        <w:trPr>
          <w:cantSplit/>
          <w:trHeight w:val="64"/>
        </w:trPr>
        <w:tc>
          <w:tcPr>
            <w:tcW w:w="31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AFA937" w14:textId="77777777" w:rsidR="00DC3EA0" w:rsidRDefault="00DC3EA0" w:rsidP="00C75F2A">
            <w:pPr>
              <w:widowControl w:val="0"/>
            </w:pP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BA667" w14:textId="77777777" w:rsidR="00DC3EA0" w:rsidRDefault="00DC3EA0" w:rsidP="00C75F2A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Sprachlernkompetenz und Sprachbewusstheit / Sprachreflexion</w:t>
            </w:r>
          </w:p>
        </w:tc>
        <w:tc>
          <w:tcPr>
            <w:tcW w:w="8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2BAE56" w14:textId="77777777" w:rsidR="00DC3EA0" w:rsidRDefault="00DC3EA0" w:rsidP="00C75F2A">
            <w:pPr>
              <w:numPr>
                <w:ilvl w:val="0"/>
                <w:numId w:val="5"/>
              </w:numPr>
              <w:tabs>
                <w:tab w:val="left" w:pos="9945"/>
              </w:tabs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(16)</w:t>
            </w:r>
            <w:r>
              <w:rPr>
                <w:rFonts w:eastAsia="Calibri" w:cs="Times New Roman"/>
              </w:rPr>
              <w:t xml:space="preserve"> beherrschen auf das Lernen bezogene Strategien (Organisieren des Lernprozesses). → S. 96/M1, S. 16/1</w:t>
            </w:r>
          </w:p>
          <w:p w14:paraId="71CBE8E3" w14:textId="77777777" w:rsidR="00DC3EA0" w:rsidRDefault="00DC3EA0" w:rsidP="00C75F2A">
            <w:pPr>
              <w:numPr>
                <w:ilvl w:val="0"/>
                <w:numId w:val="5"/>
              </w:numPr>
              <w:tabs>
                <w:tab w:val="left" w:pos="9945"/>
              </w:tabs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(16)</w:t>
            </w:r>
            <w:r>
              <w:rPr>
                <w:rFonts w:eastAsia="Calibri" w:cs="Times New Roman"/>
              </w:rPr>
              <w:t xml:space="preserve"> beherrschen auf das Lernen bezogene Strategien (Recherchieren). → S.1 6/1</w:t>
            </w:r>
          </w:p>
          <w:p w14:paraId="36B24FE4" w14:textId="77777777" w:rsidR="00DC3EA0" w:rsidRDefault="00DC3EA0" w:rsidP="00C75F2A">
            <w:pPr>
              <w:numPr>
                <w:ilvl w:val="0"/>
                <w:numId w:val="5"/>
              </w:numPr>
              <w:tabs>
                <w:tab w:val="left" w:pos="9945"/>
              </w:tabs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(19)</w:t>
            </w:r>
            <w:r>
              <w:rPr>
                <w:rFonts w:eastAsia="Calibri" w:cs="Times New Roman"/>
              </w:rPr>
              <w:t xml:space="preserve"> übertragen lateinische Lexikkenntnisse auf andere Sprachen. → S. 19/G, S. 97/M2 (allgemeine Erläuterungen: Fremd- und Lehnwörter nutzen)</w:t>
            </w:r>
          </w:p>
        </w:tc>
      </w:tr>
    </w:tbl>
    <w:p w14:paraId="7ADB872C" w14:textId="77777777" w:rsidR="00DC3EA0" w:rsidRDefault="00DC3EA0" w:rsidP="00DC3EA0"/>
    <w:p w14:paraId="52DD9F97" w14:textId="77777777" w:rsidR="00DC3EA0" w:rsidRDefault="00DC3EA0" w:rsidP="00DC3EA0"/>
    <w:p w14:paraId="1B404065" w14:textId="77777777" w:rsidR="00DC3EA0" w:rsidRDefault="00DC3EA0" w:rsidP="00DC3EA0">
      <w:pPr>
        <w:rPr>
          <w:vanish/>
        </w:rPr>
      </w:pPr>
      <w:r>
        <w:br w:type="page"/>
      </w:r>
    </w:p>
    <w:tbl>
      <w:tblPr>
        <w:tblpPr w:leftFromText="141" w:rightFromText="141" w:horzAnchor="margin" w:tblpY="472"/>
        <w:tblW w:w="144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0"/>
        <w:gridCol w:w="2706"/>
        <w:gridCol w:w="8582"/>
      </w:tblGrid>
      <w:tr w:rsidR="00DC3EA0" w14:paraId="78D712EC" w14:textId="77777777" w:rsidTr="00C75F2A">
        <w:trPr>
          <w:cantSplit/>
        </w:trPr>
        <w:tc>
          <w:tcPr>
            <w:tcW w:w="312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F322AF" w14:textId="77777777" w:rsidR="00DC3EA0" w:rsidRDefault="00DC3EA0" w:rsidP="00C75F2A">
            <w:pPr>
              <w:keepNext/>
              <w:outlineLvl w:val="3"/>
              <w:rPr>
                <w:rFonts w:eastAsia="Calibri" w:cs="Times New Roman"/>
                <w:b/>
                <w:color w:val="C00000"/>
                <w:sz w:val="32"/>
              </w:rPr>
            </w:pPr>
            <w:r>
              <w:rPr>
                <w:rFonts w:eastAsia="Calibri" w:cs="Times New Roman"/>
                <w:b/>
                <w:color w:val="C00000"/>
                <w:sz w:val="32"/>
              </w:rPr>
              <w:t>Lektion 3</w:t>
            </w:r>
          </w:p>
          <w:p w14:paraId="2C864BB2" w14:textId="77777777" w:rsidR="00DC3EA0" w:rsidRDefault="00DC3EA0" w:rsidP="00C75F2A">
            <w:pPr>
              <w:rPr>
                <w:rFonts w:eastAsia="Calibri" w:cs="Times New Roman"/>
                <w:color w:val="C00000"/>
              </w:rPr>
            </w:pPr>
            <w:r>
              <w:rPr>
                <w:rFonts w:eastAsia="Calibri" w:cs="Times New Roman"/>
                <w:color w:val="C00000"/>
              </w:rPr>
              <w:t>Die Pläne der Verbrecher</w:t>
            </w:r>
          </w:p>
          <w:p w14:paraId="3712C761" w14:textId="77777777" w:rsidR="00DC3EA0" w:rsidRDefault="00DC3EA0" w:rsidP="00C75F2A">
            <w:pPr>
              <w:rPr>
                <w:rFonts w:eastAsia="Calibri" w:cs="Times New Roman"/>
                <w:b/>
              </w:rPr>
            </w:pPr>
          </w:p>
          <w:p w14:paraId="6677944D" w14:textId="77777777" w:rsidR="00DC3EA0" w:rsidRDefault="00DC3EA0" w:rsidP="00C75F2A">
            <w:pPr>
              <w:rPr>
                <w:rFonts w:eastAsia="Calibri" w:cs="Times New Roman"/>
                <w:b/>
                <w:spacing w:val="60"/>
              </w:rPr>
            </w:pPr>
            <w:r>
              <w:rPr>
                <w:rFonts w:eastAsia="Calibri" w:cs="Times New Roman"/>
                <w:b/>
                <w:spacing w:val="60"/>
              </w:rPr>
              <w:t>Formen</w:t>
            </w:r>
          </w:p>
          <w:p w14:paraId="1481336E" w14:textId="77777777" w:rsidR="00DC3EA0" w:rsidRDefault="00DC3EA0" w:rsidP="00C75F2A">
            <w:pPr>
              <w:rPr>
                <w:rFonts w:eastAsia="Calibri" w:cs="Times New Roman"/>
                <w:lang w:val="en-US"/>
              </w:rPr>
            </w:pPr>
            <w:r>
              <w:rPr>
                <w:rFonts w:eastAsia="Calibri" w:cs="Times New Roman"/>
                <w:lang w:val="en-US"/>
              </w:rPr>
              <w:t>1) Verben: Die 1. und 2. Person</w:t>
            </w:r>
          </w:p>
          <w:p w14:paraId="3B9EB430" w14:textId="77777777" w:rsidR="00DC3EA0" w:rsidRDefault="00DC3EA0" w:rsidP="00C75F2A">
            <w:pPr>
              <w:rPr>
                <w:rFonts w:eastAsia="Calibri" w:cs="Times New Roman"/>
                <w:lang w:val="en-US"/>
              </w:rPr>
            </w:pPr>
            <w:r>
              <w:rPr>
                <w:rFonts w:eastAsia="Calibri" w:cs="Times New Roman"/>
                <w:lang w:val="en-US"/>
              </w:rPr>
              <w:t>2) Verben: Der Imperativ</w:t>
            </w:r>
          </w:p>
          <w:p w14:paraId="52737C3D" w14:textId="77777777" w:rsidR="00DC3EA0" w:rsidRDefault="00DC3EA0" w:rsidP="00C75F2A">
            <w:pPr>
              <w:rPr>
                <w:rFonts w:eastAsia="Calibri" w:cs="Times New Roman"/>
                <w:lang w:val="en-US"/>
              </w:rPr>
            </w:pPr>
            <w:r>
              <w:rPr>
                <w:rFonts w:eastAsia="Calibri" w:cs="Times New Roman"/>
                <w:lang w:val="en-US"/>
              </w:rPr>
              <w:t>3) Substantive: Der Vokativ</w:t>
            </w:r>
          </w:p>
          <w:p w14:paraId="33721218" w14:textId="77777777" w:rsidR="00DC3EA0" w:rsidRDefault="00DC3EA0" w:rsidP="00C75F2A">
            <w:pPr>
              <w:rPr>
                <w:b/>
                <w:spacing w:val="60"/>
              </w:rPr>
            </w:pPr>
            <w:r>
              <w:rPr>
                <w:b/>
                <w:spacing w:val="60"/>
              </w:rPr>
              <w:t>Syntax</w:t>
            </w:r>
          </w:p>
          <w:p w14:paraId="3A2CE5B5" w14:textId="77777777" w:rsidR="00DC3EA0" w:rsidRDefault="00DC3EA0" w:rsidP="00C75F2A">
            <w:r>
              <w:t>1) Das Subjekt im Prädikat</w:t>
            </w:r>
          </w:p>
        </w:tc>
        <w:tc>
          <w:tcPr>
            <w:tcW w:w="27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51310" w14:textId="77777777" w:rsidR="00DC3EA0" w:rsidRDefault="00DC3EA0" w:rsidP="00C75F2A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Sprachkompetenz</w:t>
            </w:r>
          </w:p>
        </w:tc>
        <w:tc>
          <w:tcPr>
            <w:tcW w:w="8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694381" w14:textId="77777777" w:rsidR="00DC3EA0" w:rsidRDefault="00DC3EA0" w:rsidP="00C75F2A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(18)</w:t>
            </w:r>
            <w:r>
              <w:rPr>
                <w:rFonts w:eastAsia="Calibri" w:cs="Times New Roman"/>
              </w:rPr>
              <w:t xml:space="preserve"> beherrschen die Formenlehre des Verbs (siehe links). → S. 26-27, S. 101/F1+F2</w:t>
            </w:r>
          </w:p>
          <w:p w14:paraId="0E4F548D" w14:textId="77777777" w:rsidR="00DC3EA0" w:rsidRDefault="00DC3EA0" w:rsidP="00C75F2A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(18)</w:t>
            </w:r>
            <w:r>
              <w:rPr>
                <w:rFonts w:eastAsia="Calibri" w:cs="Times New Roman"/>
              </w:rPr>
              <w:t xml:space="preserve"> beherrschen die Formenlehre des Substantivs (siehe links). → S. 26-27, S.101/F3</w:t>
            </w:r>
          </w:p>
          <w:p w14:paraId="146B70E7" w14:textId="77777777" w:rsidR="00DC3EA0" w:rsidRDefault="00DC3EA0" w:rsidP="00C75F2A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(17)</w:t>
            </w:r>
            <w:r>
              <w:rPr>
                <w:rFonts w:eastAsia="Calibri" w:cs="Times New Roman"/>
              </w:rPr>
              <w:t xml:space="preserve"> übertragen Kenntnisse über die Hauptfunktionen der Modi im unabhängigen Satz. → S. 101</w:t>
            </w:r>
          </w:p>
        </w:tc>
      </w:tr>
      <w:tr w:rsidR="00DC3EA0" w14:paraId="63B12F74" w14:textId="77777777" w:rsidTr="00C75F2A">
        <w:trPr>
          <w:cantSplit/>
        </w:trPr>
        <w:tc>
          <w:tcPr>
            <w:tcW w:w="312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DF319" w14:textId="77777777" w:rsidR="00DC3EA0" w:rsidRDefault="00DC3EA0" w:rsidP="00C75F2A">
            <w:pPr>
              <w:widowControl w:val="0"/>
            </w:pPr>
          </w:p>
        </w:tc>
        <w:tc>
          <w:tcPr>
            <w:tcW w:w="27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640097" w14:textId="77777777" w:rsidR="00DC3EA0" w:rsidRDefault="00DC3EA0" w:rsidP="00C75F2A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Textkompetenz</w:t>
            </w:r>
          </w:p>
        </w:tc>
        <w:tc>
          <w:tcPr>
            <w:tcW w:w="8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777A19" w14:textId="77777777" w:rsidR="00DC3EA0" w:rsidRDefault="00DC3EA0" w:rsidP="00C75F2A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(14)</w:t>
            </w:r>
            <w:r>
              <w:rPr>
                <w:rFonts w:eastAsia="Calibri" w:cs="Times New Roman"/>
              </w:rPr>
              <w:t xml:space="preserve"> übertragen Dekodierungsverfahren, indem sie eine auf vorherrschende Textmerkmale (Personalmorpheme, Satztypen) begründete Hypothesenbildung zum wahrscheinlichen Textinhalt anstellen. → S. 25/1</w:t>
            </w:r>
          </w:p>
          <w:p w14:paraId="2F93D15F" w14:textId="77777777" w:rsidR="00DC3EA0" w:rsidRDefault="00DC3EA0" w:rsidP="00C75F2A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(15)</w:t>
            </w:r>
            <w:r>
              <w:rPr>
                <w:rFonts w:eastAsia="Calibri" w:cs="Times New Roman"/>
              </w:rPr>
              <w:t xml:space="preserve"> gewinnen einen Einblick in Interpretationsverfahren, indem sie Textelemente inhaltlich und formal in den Textzusammenhang einordnen (Charakterisierung der Personen). → S. 25/2+3</w:t>
            </w:r>
          </w:p>
          <w:p w14:paraId="54D3FD81" w14:textId="77777777" w:rsidR="00DC3EA0" w:rsidRDefault="00DC3EA0" w:rsidP="00C75F2A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(15)</w:t>
            </w:r>
            <w:r>
              <w:rPr>
                <w:rFonts w:eastAsia="Calibri" w:cs="Times New Roman"/>
              </w:rPr>
              <w:t xml:space="preserve"> gewinnen einen Einblick in Interpretationsverfahren, indem sie das in den Feststellungsakten Ermittelte deuten und vertieft umsetzen. → S. 25/4</w:t>
            </w:r>
          </w:p>
        </w:tc>
      </w:tr>
      <w:tr w:rsidR="00DC3EA0" w14:paraId="2A1CC4A0" w14:textId="77777777" w:rsidTr="00C75F2A">
        <w:trPr>
          <w:cantSplit/>
        </w:trPr>
        <w:tc>
          <w:tcPr>
            <w:tcW w:w="312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65D12" w14:textId="77777777" w:rsidR="00DC3EA0" w:rsidRDefault="00DC3EA0" w:rsidP="00C75F2A">
            <w:pPr>
              <w:widowControl w:val="0"/>
            </w:pPr>
          </w:p>
        </w:tc>
        <w:tc>
          <w:tcPr>
            <w:tcW w:w="27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DD2C8B" w14:textId="77777777" w:rsidR="00DC3EA0" w:rsidRDefault="00DC3EA0" w:rsidP="00C75F2A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Literatur- und Kulturkompetenz</w:t>
            </w:r>
          </w:p>
        </w:tc>
        <w:tc>
          <w:tcPr>
            <w:tcW w:w="8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2A265" w14:textId="77777777" w:rsidR="00DC3EA0" w:rsidRDefault="00DC3EA0" w:rsidP="00C75F2A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(19)</w:t>
            </w:r>
            <w:r>
              <w:rPr>
                <w:rFonts w:eastAsia="Calibri" w:cs="Times New Roman"/>
              </w:rPr>
              <w:t xml:space="preserve"> gewinnen einen Einblick in die politische und gesellschaftliche Struktur und Organisation des römischen Staates und in das römische Rechtssystem (rechtliche und soziale Beziehungen).</w:t>
            </w:r>
          </w:p>
        </w:tc>
      </w:tr>
      <w:tr w:rsidR="00DC3EA0" w14:paraId="4894DA24" w14:textId="77777777" w:rsidTr="00C75F2A">
        <w:trPr>
          <w:cantSplit/>
          <w:trHeight w:val="64"/>
        </w:trPr>
        <w:tc>
          <w:tcPr>
            <w:tcW w:w="312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AFEFFD" w14:textId="77777777" w:rsidR="00DC3EA0" w:rsidRDefault="00DC3EA0" w:rsidP="00C75F2A">
            <w:pPr>
              <w:widowControl w:val="0"/>
            </w:pPr>
          </w:p>
        </w:tc>
        <w:tc>
          <w:tcPr>
            <w:tcW w:w="27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689C9" w14:textId="77777777" w:rsidR="00DC3EA0" w:rsidRDefault="00DC3EA0" w:rsidP="00C75F2A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Sprachlernkompetenz und Sprachbewusstheit / Sprachreflexion</w:t>
            </w:r>
          </w:p>
        </w:tc>
        <w:tc>
          <w:tcPr>
            <w:tcW w:w="8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30CBCB" w14:textId="77777777" w:rsidR="00DC3EA0" w:rsidRDefault="00DC3EA0" w:rsidP="00C75F2A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(16)</w:t>
            </w:r>
            <w:r>
              <w:rPr>
                <w:rFonts w:eastAsia="Calibri" w:cs="Times New Roman"/>
              </w:rPr>
              <w:t xml:space="preserve"> beherrschen auf das Lernen bezogene Strategien (Mnemotechniken – an Bekanntes anknüpfen). → S. 102-103/M2</w:t>
            </w:r>
          </w:p>
          <w:p w14:paraId="41071A9D" w14:textId="77777777" w:rsidR="00DC3EA0" w:rsidRDefault="00DC3EA0" w:rsidP="00C75F2A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(17)</w:t>
            </w:r>
            <w:r>
              <w:rPr>
                <w:rFonts w:eastAsia="Calibri" w:cs="Times New Roman"/>
              </w:rPr>
              <w:t xml:space="preserve"> übertragen lateinische Lexikkenntnisse auf andere Sprachen. → S. 27/F</w:t>
            </w:r>
          </w:p>
        </w:tc>
      </w:tr>
    </w:tbl>
    <w:p w14:paraId="11818081" w14:textId="77777777" w:rsidR="00DC3EA0" w:rsidRDefault="00DC3EA0" w:rsidP="00DC3EA0"/>
    <w:p w14:paraId="302B9E25" w14:textId="77777777" w:rsidR="00DC3EA0" w:rsidRDefault="00DC3EA0" w:rsidP="00DC3EA0"/>
    <w:p w14:paraId="145EBDA5" w14:textId="77777777" w:rsidR="00DC3EA0" w:rsidRDefault="00DC3EA0" w:rsidP="00DC3EA0">
      <w:pPr>
        <w:rPr>
          <w:vanish/>
        </w:rPr>
      </w:pPr>
      <w:r>
        <w:br w:type="page"/>
      </w:r>
    </w:p>
    <w:tbl>
      <w:tblPr>
        <w:tblpPr w:leftFromText="141" w:rightFromText="141" w:horzAnchor="margin" w:tblpY="602"/>
        <w:tblW w:w="144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00"/>
        <w:gridCol w:w="2726"/>
        <w:gridCol w:w="8582"/>
      </w:tblGrid>
      <w:tr w:rsidR="00DC3EA0" w14:paraId="17DFD021" w14:textId="77777777" w:rsidTr="00C75F2A">
        <w:trPr>
          <w:cantSplit/>
        </w:trPr>
        <w:tc>
          <w:tcPr>
            <w:tcW w:w="310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E325E" w14:textId="77777777" w:rsidR="00DC3EA0" w:rsidRDefault="00DC3EA0" w:rsidP="00C75F2A">
            <w:pPr>
              <w:keepNext/>
              <w:outlineLvl w:val="3"/>
              <w:rPr>
                <w:rFonts w:eastAsia="Calibri" w:cs="Times New Roman"/>
                <w:b/>
                <w:color w:val="C00000"/>
                <w:sz w:val="32"/>
              </w:rPr>
            </w:pPr>
            <w:r>
              <w:rPr>
                <w:rFonts w:eastAsia="Calibri" w:cs="Times New Roman"/>
                <w:b/>
                <w:color w:val="C00000"/>
                <w:sz w:val="32"/>
              </w:rPr>
              <w:t>Lektion 4</w:t>
            </w:r>
          </w:p>
          <w:p w14:paraId="7CFF084D" w14:textId="77777777" w:rsidR="00DC3EA0" w:rsidRDefault="00DC3EA0" w:rsidP="00C75F2A">
            <w:pPr>
              <w:rPr>
                <w:rFonts w:eastAsia="Calibri" w:cs="Times New Roman"/>
                <w:color w:val="C00000"/>
              </w:rPr>
            </w:pPr>
            <w:r>
              <w:rPr>
                <w:rFonts w:eastAsia="Calibri" w:cs="Times New Roman"/>
                <w:color w:val="C00000"/>
              </w:rPr>
              <w:t>Incitatus ist der Größte!</w:t>
            </w:r>
          </w:p>
          <w:p w14:paraId="5EEE6F1A" w14:textId="77777777" w:rsidR="00DC3EA0" w:rsidRDefault="00DC3EA0" w:rsidP="00C75F2A">
            <w:pPr>
              <w:rPr>
                <w:rFonts w:eastAsia="Calibri" w:cs="Times New Roman"/>
                <w:b/>
              </w:rPr>
            </w:pPr>
          </w:p>
          <w:p w14:paraId="7C291F78" w14:textId="77777777" w:rsidR="00DC3EA0" w:rsidRDefault="00DC3EA0" w:rsidP="00C75F2A">
            <w:pPr>
              <w:rPr>
                <w:rFonts w:eastAsia="Calibri" w:cs="Times New Roman"/>
                <w:b/>
                <w:spacing w:val="60"/>
              </w:rPr>
            </w:pPr>
            <w:r>
              <w:rPr>
                <w:rFonts w:eastAsia="Calibri" w:cs="Times New Roman"/>
                <w:b/>
                <w:spacing w:val="60"/>
              </w:rPr>
              <w:t>Formen</w:t>
            </w:r>
          </w:p>
          <w:p w14:paraId="50A9356E" w14:textId="77777777" w:rsidR="00DC3EA0" w:rsidRDefault="00DC3EA0" w:rsidP="00C75F2A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1) Substantive: Der Ablativ</w:t>
            </w:r>
          </w:p>
          <w:p w14:paraId="06739A1A" w14:textId="77777777" w:rsidR="00DC3EA0" w:rsidRDefault="00DC3EA0" w:rsidP="00C75F2A">
            <w:pPr>
              <w:rPr>
                <w:b/>
                <w:spacing w:val="60"/>
              </w:rPr>
            </w:pPr>
            <w:r>
              <w:rPr>
                <w:b/>
                <w:spacing w:val="60"/>
              </w:rPr>
              <w:t>Syntax</w:t>
            </w:r>
          </w:p>
          <w:p w14:paraId="1BEB8275" w14:textId="77777777" w:rsidR="00DC3EA0" w:rsidRDefault="00DC3EA0" w:rsidP="00C75F2A">
            <w:r>
              <w:t>1) Der Ablativ als Adverbiale: Ablativ des Mittels</w:t>
            </w:r>
          </w:p>
          <w:p w14:paraId="34F88005" w14:textId="77777777" w:rsidR="00DC3EA0" w:rsidRDefault="00DC3EA0" w:rsidP="00C75F2A">
            <w:r>
              <w:t>2) Der Ablativ als Adverbiale: Ablativ des Grundes</w:t>
            </w:r>
          </w:p>
          <w:p w14:paraId="3C541E87" w14:textId="77777777" w:rsidR="00DC3EA0" w:rsidRDefault="00DC3EA0" w:rsidP="00C75F2A">
            <w:r>
              <w:t>3) Die Verwendung der Präpositionen</w:t>
            </w: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23EB4D" w14:textId="77777777" w:rsidR="00DC3EA0" w:rsidRDefault="00DC3EA0" w:rsidP="00C75F2A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Sprachkompetenz</w:t>
            </w:r>
          </w:p>
        </w:tc>
        <w:tc>
          <w:tcPr>
            <w:tcW w:w="8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69CAD" w14:textId="77777777" w:rsidR="00DC3EA0" w:rsidRDefault="00DC3EA0" w:rsidP="00C75F2A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</w:pPr>
            <w:r>
              <w:rPr>
                <w:color w:val="0000FF"/>
              </w:rPr>
              <w:t>(18)</w:t>
            </w:r>
            <w:r>
              <w:t xml:space="preserve"> beherrschen die Formenlehre des Substantivs (siehe links). → S. 30-31, S.107/F</w:t>
            </w:r>
          </w:p>
          <w:p w14:paraId="13B55911" w14:textId="77777777" w:rsidR="00DC3EA0" w:rsidRDefault="00DC3EA0" w:rsidP="00C75F2A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</w:pPr>
            <w:r>
              <w:rPr>
                <w:color w:val="0000FF"/>
              </w:rPr>
              <w:t>(17)</w:t>
            </w:r>
            <w:r>
              <w:t xml:space="preserve"> kennen die Kasusbedeutungen (Ablativ des Mittels, Ablativ des Grundes). → S. 30-31, S. 107/S1+S2</w:t>
            </w:r>
          </w:p>
          <w:p w14:paraId="2F269ED8" w14:textId="77777777" w:rsidR="00DC3EA0" w:rsidRDefault="00DC3EA0" w:rsidP="00C75F2A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</w:pPr>
            <w:r>
              <w:rPr>
                <w:color w:val="0000FF"/>
              </w:rPr>
              <w:t>(17)</w:t>
            </w:r>
            <w:r>
              <w:t xml:space="preserve"> beherrschen die Wortarten. → S. 30/C</w:t>
            </w:r>
          </w:p>
          <w:p w14:paraId="77A88AC0" w14:textId="77777777" w:rsidR="00DC3EA0" w:rsidRDefault="00DC3EA0" w:rsidP="00C75F2A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</w:pPr>
            <w:r>
              <w:rPr>
                <w:color w:val="0000FF"/>
              </w:rPr>
              <w:t>(17)</w:t>
            </w:r>
            <w:r>
              <w:t xml:space="preserve"> kennen ein Satzmodell. → S. 109/M2</w:t>
            </w:r>
          </w:p>
        </w:tc>
      </w:tr>
      <w:tr w:rsidR="00DC3EA0" w14:paraId="7859EBDE" w14:textId="77777777" w:rsidTr="00C75F2A">
        <w:trPr>
          <w:cantSplit/>
          <w:trHeight w:val="376"/>
        </w:trPr>
        <w:tc>
          <w:tcPr>
            <w:tcW w:w="31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403684" w14:textId="77777777" w:rsidR="00DC3EA0" w:rsidRDefault="00DC3EA0" w:rsidP="00C75F2A">
            <w:pPr>
              <w:widowControl w:val="0"/>
            </w:pP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782618" w14:textId="77777777" w:rsidR="00DC3EA0" w:rsidRDefault="00DC3EA0" w:rsidP="00C75F2A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Textkompetenz</w:t>
            </w:r>
          </w:p>
        </w:tc>
        <w:tc>
          <w:tcPr>
            <w:tcW w:w="8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5A2CC8" w14:textId="77777777" w:rsidR="00DC3EA0" w:rsidRDefault="00DC3EA0" w:rsidP="00C75F2A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(14)</w:t>
            </w:r>
            <w:r>
              <w:rPr>
                <w:rFonts w:eastAsia="Calibri" w:cs="Times New Roman"/>
              </w:rPr>
              <w:t xml:space="preserve"> übertragen Dekodierungsverfahren, indem sie eine auf vorherrschende Textmerkmale (Personennamen, Schlüsselwörter) begründete Hypothesenbildung zum wahrscheinlichen Textinhalt anstellen. → S. 29/1</w:t>
            </w:r>
          </w:p>
          <w:p w14:paraId="5474B026" w14:textId="77777777" w:rsidR="00DC3EA0" w:rsidRDefault="00DC3EA0" w:rsidP="00C75F2A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(14)</w:t>
            </w:r>
            <w:r>
              <w:rPr>
                <w:rFonts w:eastAsia="Calibri" w:cs="Times New Roman"/>
              </w:rPr>
              <w:t xml:space="preserve"> gewinnen einen Einblick in Interpretationsverfahren, indem sie den Aufbau des Textes begründend analysieren. → S. 29/2</w:t>
            </w:r>
          </w:p>
          <w:p w14:paraId="1B968430" w14:textId="77777777" w:rsidR="00DC3EA0" w:rsidRDefault="00DC3EA0" w:rsidP="00C75F2A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(15)</w:t>
            </w:r>
            <w:r>
              <w:rPr>
                <w:rFonts w:eastAsia="Calibri" w:cs="Times New Roman"/>
              </w:rPr>
              <w:t xml:space="preserve"> gewinnen einen Einblick in Interpretationsverfahren, indem sie das in den Feststellungsakten Ermittelte deuten und vertieft umsetzen. → S. 29/3</w:t>
            </w:r>
          </w:p>
        </w:tc>
      </w:tr>
      <w:tr w:rsidR="00DC3EA0" w14:paraId="056FCDFD" w14:textId="77777777" w:rsidTr="00C75F2A">
        <w:trPr>
          <w:cantSplit/>
        </w:trPr>
        <w:tc>
          <w:tcPr>
            <w:tcW w:w="31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BA99F6" w14:textId="77777777" w:rsidR="00DC3EA0" w:rsidRDefault="00DC3EA0" w:rsidP="00C75F2A">
            <w:pPr>
              <w:widowControl w:val="0"/>
            </w:pP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14504" w14:textId="77777777" w:rsidR="00DC3EA0" w:rsidRDefault="00DC3EA0" w:rsidP="00C75F2A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Literatur- und Kulturkompetenz</w:t>
            </w:r>
          </w:p>
        </w:tc>
        <w:tc>
          <w:tcPr>
            <w:tcW w:w="8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B16B57" w14:textId="77777777" w:rsidR="00DC3EA0" w:rsidRDefault="00DC3EA0" w:rsidP="00C75F2A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(19)</w:t>
            </w:r>
            <w:r>
              <w:rPr>
                <w:rFonts w:eastAsia="Calibri" w:cs="Times New Roman"/>
              </w:rPr>
              <w:t xml:space="preserve"> gewinnen einen Einblick in die politische und gesellschaftliche Struktur und Organisation des römischen Staates und in das römische Rechtssystem (politische und gesellschaftliche Strukturen, rechtliche und soziale Beziehungen).</w:t>
            </w:r>
          </w:p>
        </w:tc>
      </w:tr>
      <w:tr w:rsidR="00DC3EA0" w14:paraId="3BCF7A98" w14:textId="77777777" w:rsidTr="00C75F2A">
        <w:trPr>
          <w:cantSplit/>
          <w:trHeight w:val="64"/>
        </w:trPr>
        <w:tc>
          <w:tcPr>
            <w:tcW w:w="31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3E0D2C" w14:textId="77777777" w:rsidR="00DC3EA0" w:rsidRDefault="00DC3EA0" w:rsidP="00C75F2A">
            <w:pPr>
              <w:widowControl w:val="0"/>
            </w:pP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8C158B" w14:textId="77777777" w:rsidR="00DC3EA0" w:rsidRDefault="00DC3EA0" w:rsidP="00C75F2A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Sprachlernkompetenz und Sprachbewusstheit / Sprachreflexion</w:t>
            </w:r>
          </w:p>
        </w:tc>
        <w:tc>
          <w:tcPr>
            <w:tcW w:w="8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23570D" w14:textId="77777777" w:rsidR="00DC3EA0" w:rsidRDefault="00DC3EA0" w:rsidP="00C75F2A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(16)</w:t>
            </w:r>
            <w:r>
              <w:rPr>
                <w:rFonts w:eastAsia="Calibri" w:cs="Times New Roman"/>
              </w:rPr>
              <w:t xml:space="preserve"> beherrschen auf das Lernen bezogene Strategien (Organisieren des Lernprozesses – Hausaufgaben machen). → S.108-109/M1</w:t>
            </w:r>
          </w:p>
        </w:tc>
      </w:tr>
    </w:tbl>
    <w:p w14:paraId="219EF023" w14:textId="77777777" w:rsidR="00DC3EA0" w:rsidRDefault="00DC3EA0" w:rsidP="00DC3EA0"/>
    <w:p w14:paraId="696F3D2A" w14:textId="77777777" w:rsidR="00DC3EA0" w:rsidRDefault="00DC3EA0" w:rsidP="00DC3EA0"/>
    <w:p w14:paraId="6B8A54EA" w14:textId="77777777" w:rsidR="00DC3EA0" w:rsidRDefault="00DC3EA0" w:rsidP="00DC3EA0">
      <w:pPr>
        <w:rPr>
          <w:vanish/>
        </w:rPr>
      </w:pPr>
      <w:r>
        <w:br w:type="page"/>
      </w:r>
    </w:p>
    <w:tbl>
      <w:tblPr>
        <w:tblpPr w:leftFromText="141" w:rightFromText="141" w:vertAnchor="page" w:horzAnchor="margin" w:tblpY="2366"/>
        <w:tblW w:w="144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00"/>
        <w:gridCol w:w="2726"/>
        <w:gridCol w:w="8582"/>
      </w:tblGrid>
      <w:tr w:rsidR="00DC3EA0" w14:paraId="06452299" w14:textId="77777777" w:rsidTr="00421A0D">
        <w:trPr>
          <w:cantSplit/>
        </w:trPr>
        <w:tc>
          <w:tcPr>
            <w:tcW w:w="310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87AFC" w14:textId="77777777" w:rsidR="00DC3EA0" w:rsidRDefault="00DC3EA0" w:rsidP="00421A0D">
            <w:pPr>
              <w:keepNext/>
              <w:outlineLvl w:val="3"/>
              <w:rPr>
                <w:rFonts w:eastAsia="Calibri" w:cs="Times New Roman"/>
                <w:b/>
                <w:color w:val="C00000"/>
                <w:sz w:val="32"/>
              </w:rPr>
            </w:pPr>
            <w:r>
              <w:rPr>
                <w:rFonts w:eastAsia="Calibri" w:cs="Times New Roman"/>
                <w:b/>
                <w:color w:val="C00000"/>
                <w:sz w:val="32"/>
              </w:rPr>
              <w:t>Lektion 5</w:t>
            </w:r>
          </w:p>
          <w:p w14:paraId="55C2F7A1" w14:textId="77777777" w:rsidR="00DC3EA0" w:rsidRDefault="00DC3EA0" w:rsidP="00421A0D">
            <w:pPr>
              <w:rPr>
                <w:rFonts w:eastAsia="Calibri" w:cs="Times New Roman"/>
                <w:color w:val="C00000"/>
              </w:rPr>
            </w:pPr>
            <w:r>
              <w:rPr>
                <w:rFonts w:eastAsia="Calibri" w:cs="Times New Roman"/>
                <w:color w:val="C00000"/>
              </w:rPr>
              <w:t>Orpheus und Eurydike</w:t>
            </w:r>
          </w:p>
          <w:p w14:paraId="33A2AC69" w14:textId="77777777" w:rsidR="00DC3EA0" w:rsidRDefault="00DC3EA0" w:rsidP="00421A0D">
            <w:pPr>
              <w:rPr>
                <w:rFonts w:eastAsia="Calibri" w:cs="Times New Roman"/>
                <w:b/>
              </w:rPr>
            </w:pPr>
          </w:p>
          <w:p w14:paraId="02BD1895" w14:textId="77777777" w:rsidR="00DC3EA0" w:rsidRDefault="00DC3EA0" w:rsidP="00421A0D">
            <w:pPr>
              <w:rPr>
                <w:rFonts w:eastAsia="Calibri" w:cs="Times New Roman"/>
                <w:b/>
                <w:spacing w:val="60"/>
              </w:rPr>
            </w:pPr>
            <w:r>
              <w:rPr>
                <w:rFonts w:eastAsia="Calibri" w:cs="Times New Roman"/>
                <w:b/>
                <w:spacing w:val="60"/>
              </w:rPr>
              <w:t>Formen</w:t>
            </w:r>
          </w:p>
          <w:p w14:paraId="2B64B6D7" w14:textId="77777777" w:rsidR="00DC3EA0" w:rsidRDefault="00DC3EA0" w:rsidP="00421A0D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1) Verben: Die konsonantische Konjugation</w:t>
            </w:r>
          </w:p>
          <w:p w14:paraId="51C71E1D" w14:textId="77777777" w:rsidR="00DC3EA0" w:rsidRDefault="00DC3EA0" w:rsidP="00421A0D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2) Verben: velle, nolle</w:t>
            </w: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DB1E5E" w14:textId="77777777" w:rsidR="00DC3EA0" w:rsidRDefault="00DC3EA0" w:rsidP="00421A0D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Sprachkompetenz</w:t>
            </w:r>
          </w:p>
        </w:tc>
        <w:tc>
          <w:tcPr>
            <w:tcW w:w="8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28E234" w14:textId="77777777" w:rsidR="00DC3EA0" w:rsidRDefault="00DC3EA0" w:rsidP="00421A0D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(18)</w:t>
            </w:r>
            <w:r>
              <w:rPr>
                <w:rFonts w:eastAsia="Calibri" w:cs="Times New Roman"/>
              </w:rPr>
              <w:t xml:space="preserve"> beherrschen die Formenlehre des Verbs (siehe links). → S. 38-39, S. 113/F1+F2, S. 115-177 (Übersicht über die Konjugation der Verben)</w:t>
            </w:r>
          </w:p>
          <w:p w14:paraId="167AA781" w14:textId="77777777" w:rsidR="00DC3EA0" w:rsidRDefault="00DC3EA0" w:rsidP="00421A0D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(17)</w:t>
            </w:r>
            <w:r>
              <w:rPr>
                <w:rFonts w:eastAsia="Calibri" w:cs="Times New Roman"/>
              </w:rPr>
              <w:t xml:space="preserve"> beherrschen Varianten der Strukturierung (Sachfelder, Wortfelder). → S. 114/M</w:t>
            </w:r>
          </w:p>
          <w:p w14:paraId="7A78C5B1" w14:textId="77777777" w:rsidR="00DC3EA0" w:rsidRDefault="00DC3EA0" w:rsidP="00421A0D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(17)</w:t>
            </w:r>
            <w:r>
              <w:rPr>
                <w:rFonts w:eastAsia="Calibri" w:cs="Times New Roman"/>
              </w:rPr>
              <w:t xml:space="preserve"> beherrschen die Wortarten. → S. 39/D</w:t>
            </w:r>
          </w:p>
        </w:tc>
      </w:tr>
      <w:tr w:rsidR="00DC3EA0" w14:paraId="0502F8F5" w14:textId="77777777" w:rsidTr="00421A0D">
        <w:trPr>
          <w:cantSplit/>
        </w:trPr>
        <w:tc>
          <w:tcPr>
            <w:tcW w:w="31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CEE79" w14:textId="77777777" w:rsidR="00DC3EA0" w:rsidRDefault="00DC3EA0" w:rsidP="00421A0D">
            <w:pPr>
              <w:widowControl w:val="0"/>
            </w:pP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555DA" w14:textId="77777777" w:rsidR="00DC3EA0" w:rsidRDefault="00DC3EA0" w:rsidP="00421A0D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Textkompetenz</w:t>
            </w:r>
          </w:p>
        </w:tc>
        <w:tc>
          <w:tcPr>
            <w:tcW w:w="8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9B4105" w14:textId="77777777" w:rsidR="00DC3EA0" w:rsidRDefault="00DC3EA0" w:rsidP="00421A0D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(13)</w:t>
            </w:r>
            <w:r>
              <w:rPr>
                <w:rFonts w:eastAsia="Calibri" w:cs="Times New Roman"/>
              </w:rPr>
              <w:t xml:space="preserve"> übertragen Dekodierungsverfahren, indem sie ein begründetes Verständnis des Textinhalts formulieren (Subjekte, Verbalinformationen. → S. 37/1</w:t>
            </w:r>
          </w:p>
          <w:p w14:paraId="2C1A38D4" w14:textId="77777777" w:rsidR="00DC3EA0" w:rsidRDefault="00DC3EA0" w:rsidP="00421A0D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(15)</w:t>
            </w:r>
            <w:r>
              <w:rPr>
                <w:rFonts w:eastAsia="Calibri" w:cs="Times New Roman"/>
              </w:rPr>
              <w:t xml:space="preserve"> gewinnen einen Einblick in Interpretationsverfahren, indem sie das in den Feststellungsakten Ermittelte deuten und vertieft umsetzen. → S. 37/2+3</w:t>
            </w:r>
          </w:p>
        </w:tc>
      </w:tr>
      <w:tr w:rsidR="00DC3EA0" w14:paraId="738982D2" w14:textId="77777777" w:rsidTr="00421A0D">
        <w:trPr>
          <w:cantSplit/>
        </w:trPr>
        <w:tc>
          <w:tcPr>
            <w:tcW w:w="31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57D9C" w14:textId="77777777" w:rsidR="00DC3EA0" w:rsidRDefault="00DC3EA0" w:rsidP="00421A0D">
            <w:pPr>
              <w:widowControl w:val="0"/>
            </w:pP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80A2C2" w14:textId="77777777" w:rsidR="00DC3EA0" w:rsidRDefault="00DC3EA0" w:rsidP="00421A0D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Literatur- und Kulturkompetenz</w:t>
            </w:r>
          </w:p>
        </w:tc>
        <w:tc>
          <w:tcPr>
            <w:tcW w:w="8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F0EB8E" w14:textId="77777777" w:rsidR="00DC3EA0" w:rsidRDefault="00DC3EA0" w:rsidP="00421A0D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(19)</w:t>
            </w:r>
            <w:r>
              <w:rPr>
                <w:rFonts w:eastAsia="Calibri" w:cs="Times New Roman"/>
              </w:rPr>
              <w:t xml:space="preserve"> gewinnen einen Einblick in wesentliche Aspekte der antiken Mythologie und Religion (Orpheus und Eurydike, Herakles und der Höllenhund Cerberus).</w:t>
            </w:r>
          </w:p>
        </w:tc>
      </w:tr>
      <w:tr w:rsidR="00DC3EA0" w14:paraId="730CA225" w14:textId="77777777" w:rsidTr="00421A0D">
        <w:trPr>
          <w:cantSplit/>
          <w:trHeight w:val="64"/>
        </w:trPr>
        <w:tc>
          <w:tcPr>
            <w:tcW w:w="31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CA321" w14:textId="77777777" w:rsidR="00DC3EA0" w:rsidRDefault="00DC3EA0" w:rsidP="00421A0D">
            <w:pPr>
              <w:widowControl w:val="0"/>
            </w:pP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BB181B" w14:textId="77777777" w:rsidR="00DC3EA0" w:rsidRDefault="00DC3EA0" w:rsidP="00421A0D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Sprachlernkompetenz und Sprachbewusstheit / Sprachreflexion</w:t>
            </w:r>
          </w:p>
        </w:tc>
        <w:tc>
          <w:tcPr>
            <w:tcW w:w="8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98AC08" w14:textId="77777777" w:rsidR="00DC3EA0" w:rsidRDefault="00DC3EA0" w:rsidP="00421A0D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(16)</w:t>
            </w:r>
            <w:r>
              <w:rPr>
                <w:rFonts w:eastAsia="Calibri" w:cs="Times New Roman"/>
              </w:rPr>
              <w:t xml:space="preserve"> beherrschen auf das Lernen bezogene Strategien (Recherchieren). → S. 36</w:t>
            </w:r>
          </w:p>
        </w:tc>
      </w:tr>
    </w:tbl>
    <w:p w14:paraId="46B54D38" w14:textId="77777777" w:rsidR="00DC3EA0" w:rsidRDefault="00DC3EA0" w:rsidP="00DC3EA0"/>
    <w:p w14:paraId="346026D9" w14:textId="77777777" w:rsidR="00DC3EA0" w:rsidRDefault="00DC3EA0" w:rsidP="00DC3EA0"/>
    <w:p w14:paraId="67BF33F0" w14:textId="77777777" w:rsidR="00DC3EA0" w:rsidRDefault="00DC3EA0" w:rsidP="00DC3EA0">
      <w:pPr>
        <w:rPr>
          <w:vanish/>
        </w:rPr>
      </w:pPr>
      <w:r>
        <w:br w:type="page"/>
      </w:r>
    </w:p>
    <w:tbl>
      <w:tblPr>
        <w:tblpPr w:leftFromText="141" w:rightFromText="141" w:vertAnchor="page" w:horzAnchor="margin" w:tblpY="2365"/>
        <w:tblW w:w="144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00"/>
        <w:gridCol w:w="2726"/>
        <w:gridCol w:w="8582"/>
      </w:tblGrid>
      <w:tr w:rsidR="00DC3EA0" w14:paraId="1B598CB1" w14:textId="77777777" w:rsidTr="00421A0D">
        <w:trPr>
          <w:cantSplit/>
        </w:trPr>
        <w:tc>
          <w:tcPr>
            <w:tcW w:w="310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38679D" w14:textId="77777777" w:rsidR="00DC3EA0" w:rsidRDefault="00DC3EA0" w:rsidP="00421A0D">
            <w:pPr>
              <w:keepNext/>
              <w:outlineLvl w:val="3"/>
              <w:rPr>
                <w:rFonts w:eastAsia="Calibri" w:cs="Times New Roman"/>
                <w:b/>
                <w:color w:val="C00000"/>
                <w:sz w:val="32"/>
              </w:rPr>
            </w:pPr>
            <w:r>
              <w:rPr>
                <w:rFonts w:eastAsia="Calibri" w:cs="Times New Roman"/>
                <w:b/>
                <w:color w:val="C00000"/>
                <w:sz w:val="32"/>
              </w:rPr>
              <w:t>Lektion 6</w:t>
            </w:r>
          </w:p>
          <w:p w14:paraId="67EBBB50" w14:textId="77777777" w:rsidR="00DC3EA0" w:rsidRDefault="00DC3EA0" w:rsidP="00421A0D">
            <w:pPr>
              <w:rPr>
                <w:rFonts w:eastAsia="Calibri" w:cs="Times New Roman"/>
                <w:color w:val="C00000"/>
              </w:rPr>
            </w:pPr>
            <w:r>
              <w:rPr>
                <w:rFonts w:eastAsia="Calibri" w:cs="Times New Roman"/>
                <w:color w:val="C00000"/>
              </w:rPr>
              <w:t>Ikarus und der Traum vom Fliegen</w:t>
            </w:r>
          </w:p>
          <w:p w14:paraId="597DDEA0" w14:textId="77777777" w:rsidR="00DC3EA0" w:rsidRDefault="00DC3EA0" w:rsidP="00421A0D">
            <w:pPr>
              <w:rPr>
                <w:rFonts w:eastAsia="Calibri" w:cs="Times New Roman"/>
                <w:b/>
              </w:rPr>
            </w:pPr>
          </w:p>
          <w:p w14:paraId="4CD295E9" w14:textId="77777777" w:rsidR="00DC3EA0" w:rsidRDefault="00DC3EA0" w:rsidP="00421A0D">
            <w:pPr>
              <w:rPr>
                <w:rFonts w:eastAsia="Calibri" w:cs="Times New Roman"/>
                <w:b/>
                <w:spacing w:val="60"/>
              </w:rPr>
            </w:pPr>
            <w:r>
              <w:rPr>
                <w:rFonts w:eastAsia="Calibri" w:cs="Times New Roman"/>
                <w:b/>
                <w:spacing w:val="60"/>
              </w:rPr>
              <w:t>Formen</w:t>
            </w:r>
          </w:p>
          <w:p w14:paraId="45CDFA2A" w14:textId="77777777" w:rsidR="00DC3EA0" w:rsidRDefault="00DC3EA0" w:rsidP="00421A0D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1) Substantive: Der Genitiv</w:t>
            </w:r>
          </w:p>
          <w:p w14:paraId="0A02F407" w14:textId="77777777" w:rsidR="00DC3EA0" w:rsidRDefault="00DC3EA0" w:rsidP="00421A0D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2) Substantive der o-Deklination auf -er</w:t>
            </w:r>
          </w:p>
          <w:p w14:paraId="2E58710F" w14:textId="77777777" w:rsidR="00DC3EA0" w:rsidRDefault="00DC3EA0" w:rsidP="00421A0D">
            <w:pPr>
              <w:rPr>
                <w:b/>
                <w:spacing w:val="60"/>
              </w:rPr>
            </w:pPr>
            <w:r>
              <w:rPr>
                <w:b/>
                <w:spacing w:val="60"/>
              </w:rPr>
              <w:t>Syntax</w:t>
            </w:r>
          </w:p>
          <w:p w14:paraId="11F60EFD" w14:textId="77777777" w:rsidR="00DC3EA0" w:rsidRDefault="00DC3EA0" w:rsidP="00421A0D">
            <w:r>
              <w:t>1) Der Genitiv als Attribut: Genitiv der Zugehörigkeit</w:t>
            </w:r>
          </w:p>
          <w:p w14:paraId="27A9BEC7" w14:textId="77777777" w:rsidR="00DC3EA0" w:rsidRDefault="00DC3EA0" w:rsidP="00421A0D">
            <w:r>
              <w:t>2) Der Genitiv als Attribut: Genitivus partitivus</w:t>
            </w:r>
          </w:p>
          <w:p w14:paraId="36089AFB" w14:textId="77777777" w:rsidR="00DC3EA0" w:rsidRDefault="00DC3EA0" w:rsidP="00421A0D">
            <w:r>
              <w:t>3) Der Genitiv als Attribut: Genitivus obiectivus</w:t>
            </w: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E5BFD" w14:textId="77777777" w:rsidR="00DC3EA0" w:rsidRDefault="00DC3EA0" w:rsidP="00421A0D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Sprachkompetenz</w:t>
            </w:r>
          </w:p>
        </w:tc>
        <w:tc>
          <w:tcPr>
            <w:tcW w:w="8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8BB35B" w14:textId="77777777" w:rsidR="00DC3EA0" w:rsidRDefault="00DC3EA0" w:rsidP="00421A0D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</w:pPr>
            <w:r>
              <w:rPr>
                <w:color w:val="0000FF"/>
              </w:rPr>
              <w:t>(18)</w:t>
            </w:r>
            <w:r>
              <w:t xml:space="preserve"> beherrschen die Formenlehre des Substantivs (siehe links). → S. 42-43, S. 121/F1+F2</w:t>
            </w:r>
          </w:p>
          <w:p w14:paraId="1E6C779D" w14:textId="77777777" w:rsidR="00DC3EA0" w:rsidRDefault="00DC3EA0" w:rsidP="00421A0D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</w:pPr>
            <w:r>
              <w:rPr>
                <w:color w:val="0000FF"/>
              </w:rPr>
              <w:t>(17)</w:t>
            </w:r>
            <w:r>
              <w:t xml:space="preserve"> kennen die Kasusbedeutungen (Genitiv der Zugehörigkeit, Genitivus partitivus, Genitivus obiectivus). → S. 42-43, S. 121-122/S1-S3</w:t>
            </w:r>
          </w:p>
          <w:p w14:paraId="42358C70" w14:textId="77777777" w:rsidR="00DC3EA0" w:rsidRDefault="00DC3EA0" w:rsidP="00421A0D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</w:pPr>
            <w:r>
              <w:rPr>
                <w:color w:val="0000FF"/>
              </w:rPr>
              <w:t>(17)</w:t>
            </w:r>
            <w:r>
              <w:t xml:space="preserve"> kennen ein Satzmodell. → S. 43/F</w:t>
            </w:r>
          </w:p>
        </w:tc>
      </w:tr>
      <w:tr w:rsidR="00DC3EA0" w14:paraId="3CD2F09F" w14:textId="77777777" w:rsidTr="00421A0D">
        <w:trPr>
          <w:cantSplit/>
        </w:trPr>
        <w:tc>
          <w:tcPr>
            <w:tcW w:w="31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771A45" w14:textId="77777777" w:rsidR="00DC3EA0" w:rsidRDefault="00DC3EA0" w:rsidP="00421A0D">
            <w:pPr>
              <w:widowControl w:val="0"/>
            </w:pP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37BD34" w14:textId="77777777" w:rsidR="00DC3EA0" w:rsidRDefault="00DC3EA0" w:rsidP="00421A0D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Textkompetenz</w:t>
            </w:r>
          </w:p>
        </w:tc>
        <w:tc>
          <w:tcPr>
            <w:tcW w:w="8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62628F" w14:textId="77777777" w:rsidR="00DC3EA0" w:rsidRDefault="00DC3EA0" w:rsidP="00421A0D">
            <w:pPr>
              <w:pStyle w:val="Listenabsatz"/>
              <w:numPr>
                <w:ilvl w:val="0"/>
                <w:numId w:val="6"/>
              </w:numPr>
              <w:spacing w:before="2" w:after="2" w:line="240" w:lineRule="auto"/>
              <w:rPr>
                <w:rFonts w:cs="Times New Roman"/>
                <w:lang w:eastAsia="de-DE"/>
              </w:rPr>
            </w:pPr>
            <w:r>
              <w:rPr>
                <w:rFonts w:cs="Times New Roman"/>
                <w:color w:val="0000FF"/>
                <w:lang w:eastAsia="de-DE"/>
              </w:rPr>
              <w:t>(13)</w:t>
            </w:r>
            <w:r>
              <w:rPr>
                <w:rFonts w:cs="Times New Roman"/>
                <w:lang w:eastAsia="de-DE"/>
              </w:rPr>
              <w:t xml:space="preserve"> übertragen Dekodierungsverfahren, indem sie eine auf Textumfeld (deutsche Sätze zwischen der Übersetzung) begründete Vermutung über den zu erwartenden Textinhalt anstellen. → S. 41/1</w:t>
            </w:r>
          </w:p>
          <w:p w14:paraId="176BECA8" w14:textId="77777777" w:rsidR="00DC3EA0" w:rsidRDefault="00DC3EA0" w:rsidP="00421A0D">
            <w:pPr>
              <w:pStyle w:val="Listenabsatz"/>
              <w:numPr>
                <w:ilvl w:val="0"/>
                <w:numId w:val="6"/>
              </w:numPr>
              <w:spacing w:before="2" w:after="2" w:line="240" w:lineRule="auto"/>
              <w:rPr>
                <w:rFonts w:cs="Times New Roman"/>
                <w:lang w:eastAsia="de-DE"/>
              </w:rPr>
            </w:pPr>
            <w:r>
              <w:rPr>
                <w:rFonts w:cs="Times New Roman"/>
                <w:color w:val="0000FF"/>
                <w:lang w:eastAsia="de-DE"/>
              </w:rPr>
              <w:t>(15)</w:t>
            </w:r>
            <w:r>
              <w:rPr>
                <w:rFonts w:cs="Times New Roman"/>
                <w:lang w:eastAsia="de-DE"/>
              </w:rPr>
              <w:t xml:space="preserve"> gewinnen einen Einblick in Interpretationsverfahren, indem sie Textelemente inhaltlich und formal in den Textzusammenhang einordnen. → S. 41/2</w:t>
            </w:r>
          </w:p>
          <w:p w14:paraId="2262A14E" w14:textId="77777777" w:rsidR="00DC3EA0" w:rsidRDefault="00DC3EA0" w:rsidP="00421A0D">
            <w:pPr>
              <w:pStyle w:val="Listenabsatz"/>
              <w:numPr>
                <w:ilvl w:val="0"/>
                <w:numId w:val="6"/>
              </w:numPr>
              <w:spacing w:before="2" w:after="2" w:line="240" w:lineRule="auto"/>
              <w:rPr>
                <w:rFonts w:cs="Times New Roman"/>
                <w:lang w:eastAsia="de-DE"/>
              </w:rPr>
            </w:pPr>
            <w:r>
              <w:rPr>
                <w:rFonts w:cs="Times New Roman"/>
                <w:color w:val="0000FF"/>
                <w:lang w:eastAsia="de-DE"/>
              </w:rPr>
              <w:t>(15)</w:t>
            </w:r>
            <w:r>
              <w:rPr>
                <w:rFonts w:cs="Times New Roman"/>
                <w:lang w:eastAsia="de-DE"/>
              </w:rPr>
              <w:t xml:space="preserve"> gewinnen einen Einblick in Interpretationsverfahren, indem sie das in den Feststellungsakten Ermittelte deuten und vertieft umsetzen. → S. 41/3</w:t>
            </w:r>
          </w:p>
        </w:tc>
      </w:tr>
      <w:tr w:rsidR="00DC3EA0" w14:paraId="19830B72" w14:textId="77777777" w:rsidTr="00421A0D">
        <w:trPr>
          <w:cantSplit/>
        </w:trPr>
        <w:tc>
          <w:tcPr>
            <w:tcW w:w="31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65E1F3" w14:textId="77777777" w:rsidR="00DC3EA0" w:rsidRDefault="00DC3EA0" w:rsidP="00421A0D">
            <w:pPr>
              <w:widowControl w:val="0"/>
            </w:pP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99E71D" w14:textId="77777777" w:rsidR="00DC3EA0" w:rsidRDefault="00DC3EA0" w:rsidP="00421A0D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Literatur- und Kulturkompetenz</w:t>
            </w:r>
          </w:p>
        </w:tc>
        <w:tc>
          <w:tcPr>
            <w:tcW w:w="8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443A73" w14:textId="77777777" w:rsidR="00DC3EA0" w:rsidRDefault="00DC3EA0" w:rsidP="00421A0D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(19)</w:t>
            </w:r>
            <w:r>
              <w:rPr>
                <w:rFonts w:eastAsia="Calibri" w:cs="Times New Roman"/>
              </w:rPr>
              <w:t xml:space="preserve"> gewinnen einen Einblick in wesentliche Aspekte der antiken Mythologie und Religion (Dädalus und Ikarus, Ariadne und Theseus).</w:t>
            </w:r>
          </w:p>
        </w:tc>
      </w:tr>
      <w:tr w:rsidR="00DC3EA0" w14:paraId="706E0C99" w14:textId="77777777" w:rsidTr="00421A0D">
        <w:trPr>
          <w:cantSplit/>
          <w:trHeight w:val="64"/>
        </w:trPr>
        <w:tc>
          <w:tcPr>
            <w:tcW w:w="31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5ADAB2" w14:textId="77777777" w:rsidR="00DC3EA0" w:rsidRDefault="00DC3EA0" w:rsidP="00421A0D">
            <w:pPr>
              <w:widowControl w:val="0"/>
            </w:pP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4C70A" w14:textId="77777777" w:rsidR="00DC3EA0" w:rsidRDefault="00DC3EA0" w:rsidP="00421A0D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Sprachlernkompetenz und Sprachbewusstheit / Sprachreflexion</w:t>
            </w:r>
          </w:p>
        </w:tc>
        <w:tc>
          <w:tcPr>
            <w:tcW w:w="8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4A573" w14:textId="77777777" w:rsidR="00DC3EA0" w:rsidRDefault="00DC3EA0" w:rsidP="00421A0D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(16)</w:t>
            </w:r>
            <w:r>
              <w:rPr>
                <w:rFonts w:eastAsia="Calibri" w:cs="Times New Roman"/>
              </w:rPr>
              <w:t xml:space="preserve"> beherrschen auf das Lernen bezogene Strategien (Recherchieren). → S. 40/1+2</w:t>
            </w:r>
          </w:p>
          <w:p w14:paraId="0FDBE5F3" w14:textId="77777777" w:rsidR="00DC3EA0" w:rsidRDefault="00DC3EA0" w:rsidP="00421A0D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(16)</w:t>
            </w:r>
            <w:r>
              <w:rPr>
                <w:rFonts w:eastAsia="Calibri" w:cs="Times New Roman"/>
              </w:rPr>
              <w:t xml:space="preserve"> beherrschen auf das Lernen bezogene Strategien (Organisieren des Lernprozesses – Gelerntes behalten). → S. 122-123/M</w:t>
            </w:r>
          </w:p>
          <w:p w14:paraId="02116576" w14:textId="77777777" w:rsidR="00DC3EA0" w:rsidRDefault="00DC3EA0" w:rsidP="00421A0D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(17)</w:t>
            </w:r>
            <w:r>
              <w:rPr>
                <w:rFonts w:eastAsia="Calibri" w:cs="Times New Roman"/>
              </w:rPr>
              <w:t xml:space="preserve"> übertragen lateinische Lexikkenntnisse auf andere Sprachen. → S. 120/1, S. 123</w:t>
            </w:r>
          </w:p>
        </w:tc>
      </w:tr>
    </w:tbl>
    <w:p w14:paraId="48E63448" w14:textId="77777777" w:rsidR="00DC3EA0" w:rsidRDefault="00DC3EA0" w:rsidP="00DC3EA0"/>
    <w:p w14:paraId="427091E3" w14:textId="77777777" w:rsidR="00DC3EA0" w:rsidRDefault="00DC3EA0" w:rsidP="00DC3EA0"/>
    <w:p w14:paraId="7399823C" w14:textId="77777777" w:rsidR="00DC3EA0" w:rsidRDefault="00DC3EA0" w:rsidP="00DC3EA0">
      <w:pPr>
        <w:rPr>
          <w:vanish/>
        </w:rPr>
      </w:pPr>
      <w:r>
        <w:br w:type="page"/>
      </w:r>
    </w:p>
    <w:tbl>
      <w:tblPr>
        <w:tblpPr w:leftFromText="141" w:rightFromText="141" w:horzAnchor="margin" w:tblpY="730"/>
        <w:tblW w:w="144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5"/>
        <w:gridCol w:w="2757"/>
        <w:gridCol w:w="8526"/>
      </w:tblGrid>
      <w:tr w:rsidR="00DC3EA0" w14:paraId="70E62783" w14:textId="77777777" w:rsidTr="00421A0D">
        <w:trPr>
          <w:cantSplit/>
        </w:trPr>
        <w:tc>
          <w:tcPr>
            <w:tcW w:w="312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2630A8" w14:textId="77777777" w:rsidR="00DC3EA0" w:rsidRDefault="00DC3EA0" w:rsidP="00421A0D">
            <w:pPr>
              <w:keepNext/>
              <w:outlineLvl w:val="3"/>
              <w:rPr>
                <w:rFonts w:eastAsia="Calibri" w:cs="Times New Roman"/>
                <w:b/>
                <w:color w:val="C00000"/>
                <w:sz w:val="32"/>
              </w:rPr>
            </w:pPr>
            <w:r>
              <w:rPr>
                <w:rFonts w:eastAsia="Calibri" w:cs="Times New Roman"/>
                <w:b/>
                <w:color w:val="C00000"/>
                <w:sz w:val="32"/>
              </w:rPr>
              <w:t>Lektion 7</w:t>
            </w:r>
          </w:p>
          <w:p w14:paraId="4B25766C" w14:textId="77777777" w:rsidR="00DC3EA0" w:rsidRDefault="00DC3EA0" w:rsidP="00421A0D">
            <w:pPr>
              <w:rPr>
                <w:rFonts w:eastAsia="Calibri" w:cs="Times New Roman"/>
                <w:color w:val="C00000"/>
              </w:rPr>
            </w:pPr>
            <w:r>
              <w:rPr>
                <w:rFonts w:eastAsia="Calibri" w:cs="Times New Roman"/>
                <w:color w:val="C00000"/>
              </w:rPr>
              <w:t>Äneas flieh aus Troja</w:t>
            </w:r>
          </w:p>
          <w:p w14:paraId="773CDB75" w14:textId="77777777" w:rsidR="00DC3EA0" w:rsidRDefault="00DC3EA0" w:rsidP="00421A0D">
            <w:pPr>
              <w:rPr>
                <w:rFonts w:eastAsia="Calibri" w:cs="Times New Roman"/>
                <w:b/>
              </w:rPr>
            </w:pPr>
          </w:p>
          <w:p w14:paraId="74BC099E" w14:textId="77777777" w:rsidR="00DC3EA0" w:rsidRDefault="00DC3EA0" w:rsidP="00421A0D">
            <w:pPr>
              <w:rPr>
                <w:rFonts w:eastAsia="Calibri" w:cs="Times New Roman"/>
                <w:b/>
                <w:spacing w:val="60"/>
              </w:rPr>
            </w:pPr>
            <w:r>
              <w:rPr>
                <w:rFonts w:eastAsia="Calibri" w:cs="Times New Roman"/>
                <w:b/>
                <w:spacing w:val="60"/>
              </w:rPr>
              <w:t>Formen</w:t>
            </w:r>
          </w:p>
          <w:p w14:paraId="6CC9E4D0" w14:textId="77777777" w:rsidR="00DC3EA0" w:rsidRDefault="00DC3EA0" w:rsidP="00421A0D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1) Substantive: Der Dativ</w:t>
            </w:r>
          </w:p>
          <w:p w14:paraId="185BE77E" w14:textId="77777777" w:rsidR="00DC3EA0" w:rsidRDefault="00DC3EA0" w:rsidP="00421A0D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2) Substantive der 3. Deklination: Der Wortstamm</w:t>
            </w:r>
          </w:p>
          <w:p w14:paraId="18CC7DDB" w14:textId="77777777" w:rsidR="00DC3EA0" w:rsidRDefault="00DC3EA0" w:rsidP="00421A0D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3) Verben: Die konsonantische Konjugation (i-Erweiterung)</w:t>
            </w:r>
          </w:p>
          <w:p w14:paraId="7804ED0F" w14:textId="77777777" w:rsidR="00DC3EA0" w:rsidRDefault="00DC3EA0" w:rsidP="00421A0D">
            <w:pPr>
              <w:rPr>
                <w:b/>
                <w:spacing w:val="60"/>
              </w:rPr>
            </w:pPr>
            <w:r>
              <w:rPr>
                <w:b/>
                <w:spacing w:val="60"/>
              </w:rPr>
              <w:t>Syntax</w:t>
            </w:r>
          </w:p>
          <w:p w14:paraId="7007429F" w14:textId="77777777" w:rsidR="00DC3EA0" w:rsidRDefault="00DC3EA0" w:rsidP="00421A0D">
            <w:r>
              <w:t>1) Der Dativ als Objekt</w:t>
            </w:r>
          </w:p>
          <w:p w14:paraId="6193B66F" w14:textId="77777777" w:rsidR="00DC3EA0" w:rsidRDefault="00DC3EA0" w:rsidP="00421A0D">
            <w:r>
              <w:t>2) Der Dativ als Prädikatsnomen</w:t>
            </w:r>
          </w:p>
        </w:tc>
        <w:tc>
          <w:tcPr>
            <w:tcW w:w="27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CAB715" w14:textId="77777777" w:rsidR="00DC3EA0" w:rsidRDefault="00DC3EA0" w:rsidP="00421A0D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Sprachkompetenz</w:t>
            </w:r>
          </w:p>
        </w:tc>
        <w:tc>
          <w:tcPr>
            <w:tcW w:w="8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DE9D02" w14:textId="77777777" w:rsidR="00DC3EA0" w:rsidRDefault="00DC3EA0" w:rsidP="00421A0D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 xml:space="preserve">(18) </w:t>
            </w:r>
            <w:r>
              <w:rPr>
                <w:rFonts w:eastAsia="Calibri" w:cs="Times New Roman"/>
              </w:rPr>
              <w:t>beherrschen die Formenlehre des Verbs (siehe links). → S. 49/F, S. 127/F3</w:t>
            </w:r>
          </w:p>
          <w:p w14:paraId="703A43A5" w14:textId="77777777" w:rsidR="00DC3EA0" w:rsidRDefault="00DC3EA0" w:rsidP="00421A0D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(18)</w:t>
            </w:r>
            <w:r>
              <w:rPr>
                <w:rFonts w:eastAsia="Calibri" w:cs="Times New Roman"/>
              </w:rPr>
              <w:t xml:space="preserve"> beherrschen die Formenlehre des Substantivs (siehe links). → S. 48-49, S. 127/F1+F2, S. 131 (Übersicht: Deklination der Substantive)</w:t>
            </w:r>
          </w:p>
          <w:p w14:paraId="0641FCB1" w14:textId="77777777" w:rsidR="00DC3EA0" w:rsidRDefault="00DC3EA0" w:rsidP="00421A0D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(17)</w:t>
            </w:r>
            <w:r>
              <w:rPr>
                <w:rFonts w:eastAsia="Calibri" w:cs="Times New Roman"/>
              </w:rPr>
              <w:t xml:space="preserve"> kennen die Kasusbedeutungen (Objektsdativ, Dativ des Besitzers). → S. 48-49, S. 128(S1+S2</w:t>
            </w:r>
          </w:p>
          <w:p w14:paraId="2C87CD92" w14:textId="77777777" w:rsidR="00DC3EA0" w:rsidRDefault="00DC3EA0" w:rsidP="00421A0D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(18)</w:t>
            </w:r>
            <w:r>
              <w:rPr>
                <w:rFonts w:eastAsia="Calibri" w:cs="Times New Roman"/>
              </w:rPr>
              <w:t xml:space="preserve"> gewinnen einen Einblick in Kohärenz stiftende Elemente von Texten. → S. 128-129/M1</w:t>
            </w:r>
          </w:p>
        </w:tc>
      </w:tr>
      <w:tr w:rsidR="00DC3EA0" w14:paraId="2E9AE71A" w14:textId="77777777" w:rsidTr="00421A0D">
        <w:trPr>
          <w:cantSplit/>
        </w:trPr>
        <w:tc>
          <w:tcPr>
            <w:tcW w:w="312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86C5C0" w14:textId="77777777" w:rsidR="00DC3EA0" w:rsidRDefault="00DC3EA0" w:rsidP="00421A0D">
            <w:pPr>
              <w:widowControl w:val="0"/>
            </w:pPr>
          </w:p>
        </w:tc>
        <w:tc>
          <w:tcPr>
            <w:tcW w:w="27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5D25A6" w14:textId="77777777" w:rsidR="00DC3EA0" w:rsidRDefault="00DC3EA0" w:rsidP="00421A0D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Textkompetenz</w:t>
            </w:r>
          </w:p>
        </w:tc>
        <w:tc>
          <w:tcPr>
            <w:tcW w:w="8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7A3569" w14:textId="77777777" w:rsidR="00DC3EA0" w:rsidRDefault="00DC3EA0" w:rsidP="00421A0D">
            <w:pPr>
              <w:pStyle w:val="Listenabsatz"/>
              <w:numPr>
                <w:ilvl w:val="0"/>
                <w:numId w:val="7"/>
              </w:numPr>
              <w:spacing w:before="2" w:after="2" w:line="240" w:lineRule="auto"/>
              <w:rPr>
                <w:rFonts w:cs="Times New Roman"/>
                <w:lang w:eastAsia="de-DE"/>
              </w:rPr>
            </w:pPr>
            <w:r>
              <w:rPr>
                <w:rFonts w:cs="Times New Roman"/>
                <w:color w:val="0000FF"/>
                <w:lang w:eastAsia="de-DE"/>
              </w:rPr>
              <w:t>(14)</w:t>
            </w:r>
            <w:r>
              <w:rPr>
                <w:rFonts w:cs="Times New Roman"/>
                <w:lang w:eastAsia="de-DE"/>
              </w:rPr>
              <w:t xml:space="preserve"> gewinnen einen Einblick in Interpretationsverfahren, indem sie den Aufbau des Textes begründend analysieren (Überschriften geben). → S. 47/1</w:t>
            </w:r>
          </w:p>
          <w:p w14:paraId="185FCA66" w14:textId="77777777" w:rsidR="00DC3EA0" w:rsidRDefault="00DC3EA0" w:rsidP="00421A0D">
            <w:pPr>
              <w:pStyle w:val="Listenabsatz"/>
              <w:numPr>
                <w:ilvl w:val="0"/>
                <w:numId w:val="7"/>
              </w:numPr>
              <w:spacing w:before="2" w:after="2" w:line="240" w:lineRule="auto"/>
              <w:rPr>
                <w:rFonts w:cs="Times New Roman"/>
                <w:lang w:eastAsia="de-DE"/>
              </w:rPr>
            </w:pPr>
            <w:r>
              <w:rPr>
                <w:rFonts w:cs="Times New Roman"/>
                <w:color w:val="0000FF"/>
                <w:lang w:eastAsia="de-DE"/>
              </w:rPr>
              <w:t>(15)</w:t>
            </w:r>
            <w:r>
              <w:rPr>
                <w:rFonts w:cs="Times New Roman"/>
                <w:lang w:eastAsia="de-DE"/>
              </w:rPr>
              <w:t xml:space="preserve"> gewinnen einen Einblick in Interpretationsverfahren, indem sie die sprachliche Gestaltung des Textes analysieren (rhetorische Mittel). → S. 47/3</w:t>
            </w:r>
          </w:p>
          <w:p w14:paraId="2DE468F2" w14:textId="77777777" w:rsidR="00DC3EA0" w:rsidRDefault="00DC3EA0" w:rsidP="00421A0D">
            <w:pPr>
              <w:pStyle w:val="Listenabsatz"/>
              <w:numPr>
                <w:ilvl w:val="0"/>
                <w:numId w:val="7"/>
              </w:numPr>
              <w:spacing w:before="2" w:after="2" w:line="240" w:lineRule="auto"/>
              <w:rPr>
                <w:rFonts w:cs="Times New Roman"/>
                <w:lang w:eastAsia="de-DE"/>
              </w:rPr>
            </w:pPr>
            <w:r>
              <w:rPr>
                <w:rFonts w:cs="Times New Roman"/>
                <w:color w:val="0000FF"/>
                <w:lang w:eastAsia="de-DE"/>
              </w:rPr>
              <w:t>(15)</w:t>
            </w:r>
            <w:r>
              <w:rPr>
                <w:rFonts w:cs="Times New Roman"/>
                <w:lang w:eastAsia="de-DE"/>
              </w:rPr>
              <w:t xml:space="preserve"> gewinnen einen Einblick in Interpretationsverfahren, indem sie Textelemente inhaltlich und formal in den Textzusammenhang einordnen. → S. 47/2+4</w:t>
            </w:r>
          </w:p>
        </w:tc>
      </w:tr>
      <w:tr w:rsidR="00DC3EA0" w14:paraId="2729ACE8" w14:textId="77777777" w:rsidTr="00421A0D">
        <w:trPr>
          <w:cantSplit/>
        </w:trPr>
        <w:tc>
          <w:tcPr>
            <w:tcW w:w="312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0AC76" w14:textId="77777777" w:rsidR="00DC3EA0" w:rsidRDefault="00DC3EA0" w:rsidP="00421A0D">
            <w:pPr>
              <w:widowControl w:val="0"/>
            </w:pPr>
          </w:p>
        </w:tc>
        <w:tc>
          <w:tcPr>
            <w:tcW w:w="27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4E071" w14:textId="77777777" w:rsidR="00DC3EA0" w:rsidRDefault="00DC3EA0" w:rsidP="00421A0D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Literatur- und Kulturkompetenz</w:t>
            </w:r>
          </w:p>
        </w:tc>
        <w:tc>
          <w:tcPr>
            <w:tcW w:w="8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232404" w14:textId="77777777" w:rsidR="00DC3EA0" w:rsidRDefault="00DC3EA0" w:rsidP="00421A0D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(19)</w:t>
            </w:r>
            <w:r>
              <w:rPr>
                <w:rFonts w:eastAsia="Calibri" w:cs="Times New Roman"/>
              </w:rPr>
              <w:t xml:space="preserve"> gewinnen einen Einblick in wesentliche Aspekte der antiken Mythologie und Religion (der trojanische Krieg).</w:t>
            </w:r>
          </w:p>
        </w:tc>
      </w:tr>
      <w:tr w:rsidR="00DC3EA0" w14:paraId="16AA7C79" w14:textId="77777777" w:rsidTr="00421A0D">
        <w:trPr>
          <w:cantSplit/>
          <w:trHeight w:val="64"/>
        </w:trPr>
        <w:tc>
          <w:tcPr>
            <w:tcW w:w="312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DB1900" w14:textId="77777777" w:rsidR="00DC3EA0" w:rsidRDefault="00DC3EA0" w:rsidP="00421A0D">
            <w:pPr>
              <w:widowControl w:val="0"/>
            </w:pPr>
          </w:p>
        </w:tc>
        <w:tc>
          <w:tcPr>
            <w:tcW w:w="27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5ACADF" w14:textId="77777777" w:rsidR="00DC3EA0" w:rsidRDefault="00DC3EA0" w:rsidP="00421A0D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Sprachlernkompetenz und Sprachbewusstheit / Sprachreflexion</w:t>
            </w:r>
          </w:p>
        </w:tc>
        <w:tc>
          <w:tcPr>
            <w:tcW w:w="8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25BDDB" w14:textId="77777777" w:rsidR="00DC3EA0" w:rsidRDefault="00DC3EA0" w:rsidP="00421A0D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(16)</w:t>
            </w:r>
            <w:r>
              <w:rPr>
                <w:rFonts w:eastAsia="Calibri" w:cs="Times New Roman"/>
              </w:rPr>
              <w:t xml:space="preserve"> beherrschen auf das Lernen bezogene Strategien (Recherchieren). → S. 46/1+2</w:t>
            </w:r>
          </w:p>
          <w:p w14:paraId="64F1432A" w14:textId="77777777" w:rsidR="00DC3EA0" w:rsidRDefault="00DC3EA0" w:rsidP="00421A0D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(16)</w:t>
            </w:r>
            <w:r>
              <w:rPr>
                <w:rFonts w:eastAsia="Calibri" w:cs="Times New Roman"/>
              </w:rPr>
              <w:t xml:space="preserve"> beherrschen auf das Lernen bezogene Strategien (Organisieren des Lernprozesses – Prüfungen vorbereiten). → S. 129-130/M2</w:t>
            </w:r>
          </w:p>
        </w:tc>
      </w:tr>
    </w:tbl>
    <w:p w14:paraId="2575FC1C" w14:textId="77777777" w:rsidR="00DC3EA0" w:rsidRDefault="00DC3EA0" w:rsidP="00DC3EA0"/>
    <w:p w14:paraId="3A5582F5" w14:textId="77777777" w:rsidR="00DC3EA0" w:rsidRDefault="00DC3EA0" w:rsidP="00DC3EA0"/>
    <w:p w14:paraId="7D8DC119" w14:textId="77777777" w:rsidR="00DC3EA0" w:rsidRDefault="00DC3EA0" w:rsidP="00DC3EA0">
      <w:pPr>
        <w:rPr>
          <w:vanish/>
        </w:rPr>
      </w:pPr>
      <w:r>
        <w:br w:type="page"/>
      </w:r>
    </w:p>
    <w:tbl>
      <w:tblPr>
        <w:tblpPr w:leftFromText="141" w:rightFromText="141" w:horzAnchor="margin" w:tblpY="688"/>
        <w:tblW w:w="144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00"/>
        <w:gridCol w:w="2782"/>
        <w:gridCol w:w="8526"/>
      </w:tblGrid>
      <w:tr w:rsidR="00DC3EA0" w14:paraId="168F8B91" w14:textId="77777777" w:rsidTr="00421A0D">
        <w:trPr>
          <w:cantSplit/>
        </w:trPr>
        <w:tc>
          <w:tcPr>
            <w:tcW w:w="310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35E2F4" w14:textId="77777777" w:rsidR="00DC3EA0" w:rsidRDefault="00DC3EA0" w:rsidP="00421A0D">
            <w:pPr>
              <w:keepNext/>
              <w:outlineLvl w:val="3"/>
              <w:rPr>
                <w:rFonts w:eastAsia="Calibri" w:cs="Times New Roman"/>
                <w:b/>
                <w:color w:val="C00000"/>
                <w:sz w:val="32"/>
              </w:rPr>
            </w:pPr>
            <w:r>
              <w:rPr>
                <w:rFonts w:eastAsia="Calibri" w:cs="Times New Roman"/>
                <w:b/>
                <w:color w:val="C00000"/>
                <w:sz w:val="32"/>
              </w:rPr>
              <w:t>Lektion 8</w:t>
            </w:r>
          </w:p>
          <w:p w14:paraId="285082AF" w14:textId="77777777" w:rsidR="00DC3EA0" w:rsidRDefault="00DC3EA0" w:rsidP="00421A0D">
            <w:pPr>
              <w:rPr>
                <w:rFonts w:eastAsia="Calibri" w:cs="Times New Roman"/>
                <w:color w:val="C00000"/>
              </w:rPr>
            </w:pPr>
            <w:r>
              <w:rPr>
                <w:rFonts w:eastAsia="Calibri" w:cs="Times New Roman"/>
                <w:color w:val="C00000"/>
              </w:rPr>
              <w:t>Ein Anfang mit Schrecken</w:t>
            </w:r>
          </w:p>
          <w:p w14:paraId="33B23776" w14:textId="77777777" w:rsidR="00DC3EA0" w:rsidRDefault="00DC3EA0" w:rsidP="00421A0D">
            <w:pPr>
              <w:rPr>
                <w:rFonts w:eastAsia="Calibri" w:cs="Times New Roman"/>
                <w:b/>
              </w:rPr>
            </w:pPr>
          </w:p>
          <w:p w14:paraId="57067312" w14:textId="77777777" w:rsidR="00DC3EA0" w:rsidRDefault="00DC3EA0" w:rsidP="00421A0D">
            <w:pPr>
              <w:rPr>
                <w:rFonts w:eastAsia="Calibri" w:cs="Times New Roman"/>
                <w:b/>
                <w:spacing w:val="60"/>
              </w:rPr>
            </w:pPr>
            <w:r>
              <w:rPr>
                <w:rFonts w:eastAsia="Calibri" w:cs="Times New Roman"/>
                <w:b/>
                <w:spacing w:val="60"/>
              </w:rPr>
              <w:t>Formen</w:t>
            </w:r>
          </w:p>
          <w:p w14:paraId="2D796523" w14:textId="77777777" w:rsidR="00DC3EA0" w:rsidRDefault="00DC3EA0" w:rsidP="00421A0D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1) Substantive der 3. Deklination: Die Neutra</w:t>
            </w:r>
          </w:p>
          <w:p w14:paraId="2529C343" w14:textId="77777777" w:rsidR="00DC3EA0" w:rsidRDefault="00DC3EA0" w:rsidP="00421A0D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2) Verben: Das Perfekt</w:t>
            </w:r>
          </w:p>
          <w:p w14:paraId="4E34A91F" w14:textId="77777777" w:rsidR="00DC3EA0" w:rsidRDefault="00DC3EA0" w:rsidP="00421A0D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3) Perfektbildung: v-/u-Perfekt</w:t>
            </w:r>
          </w:p>
          <w:p w14:paraId="5548E48D" w14:textId="77777777" w:rsidR="00DC3EA0" w:rsidRDefault="00DC3EA0" w:rsidP="00421A0D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4) Verben: posse</w:t>
            </w:r>
          </w:p>
          <w:p w14:paraId="6874CA57" w14:textId="77777777" w:rsidR="00DC3EA0" w:rsidRDefault="00DC3EA0" w:rsidP="00421A0D">
            <w:pPr>
              <w:rPr>
                <w:b/>
                <w:spacing w:val="60"/>
              </w:rPr>
            </w:pPr>
            <w:r>
              <w:rPr>
                <w:b/>
                <w:spacing w:val="60"/>
              </w:rPr>
              <w:t>Syntax</w:t>
            </w:r>
          </w:p>
          <w:p w14:paraId="638352A1" w14:textId="77777777" w:rsidR="00DC3EA0" w:rsidRDefault="00DC3EA0" w:rsidP="00421A0D">
            <w:r>
              <w:t>1) Die Verwendung des Perfekts</w:t>
            </w:r>
          </w:p>
        </w:tc>
        <w:tc>
          <w:tcPr>
            <w:tcW w:w="27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05E153" w14:textId="77777777" w:rsidR="00DC3EA0" w:rsidRDefault="00DC3EA0" w:rsidP="00421A0D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Sprachkompetenz</w:t>
            </w:r>
          </w:p>
        </w:tc>
        <w:tc>
          <w:tcPr>
            <w:tcW w:w="8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A20A24" w14:textId="77777777" w:rsidR="00DC3EA0" w:rsidRDefault="00DC3EA0" w:rsidP="00421A0D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(18)</w:t>
            </w:r>
            <w:r>
              <w:rPr>
                <w:rFonts w:eastAsia="Calibri" w:cs="Times New Roman"/>
              </w:rPr>
              <w:t xml:space="preserve"> beherrschen die Formenlehre des Verbs (siehe links). → S. 52-53, S. 135/F2-F4</w:t>
            </w:r>
          </w:p>
          <w:p w14:paraId="2F6BCA84" w14:textId="77777777" w:rsidR="00DC3EA0" w:rsidRDefault="00DC3EA0" w:rsidP="00421A0D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 xml:space="preserve">(17) </w:t>
            </w:r>
            <w:r>
              <w:rPr>
                <w:rFonts w:eastAsia="Calibri" w:cs="Times New Roman"/>
              </w:rPr>
              <w:t>übertragen Kenntnisse über die Hauptfunktionen der Tempora im unabhängigen Satz (die Verwendung des Perfekts). → S. 52-53, S. 136/S</w:t>
            </w:r>
          </w:p>
          <w:p w14:paraId="5544EFB6" w14:textId="77777777" w:rsidR="00DC3EA0" w:rsidRDefault="00DC3EA0" w:rsidP="00421A0D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(18)</w:t>
            </w:r>
            <w:r>
              <w:rPr>
                <w:rFonts w:eastAsia="Calibri" w:cs="Times New Roman"/>
              </w:rPr>
              <w:t xml:space="preserve"> beherrschen die Formenlehre des Substantivs (siehe links). → S. 53/G, S. 135/F1</w:t>
            </w:r>
          </w:p>
          <w:p w14:paraId="50ACF714" w14:textId="77777777" w:rsidR="00DC3EA0" w:rsidRDefault="00DC3EA0" w:rsidP="00421A0D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(17)</w:t>
            </w:r>
            <w:r>
              <w:rPr>
                <w:rFonts w:eastAsia="Calibri" w:cs="Times New Roman"/>
              </w:rPr>
              <w:t xml:space="preserve"> kennen ein Satzmodell. → S. 52/C, S. 136-137/M</w:t>
            </w:r>
          </w:p>
        </w:tc>
      </w:tr>
      <w:tr w:rsidR="00DC3EA0" w14:paraId="0B84B135" w14:textId="77777777" w:rsidTr="00421A0D">
        <w:trPr>
          <w:cantSplit/>
        </w:trPr>
        <w:tc>
          <w:tcPr>
            <w:tcW w:w="31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E9F03A" w14:textId="77777777" w:rsidR="00DC3EA0" w:rsidRDefault="00DC3EA0" w:rsidP="00421A0D">
            <w:pPr>
              <w:widowControl w:val="0"/>
            </w:pPr>
          </w:p>
        </w:tc>
        <w:tc>
          <w:tcPr>
            <w:tcW w:w="27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19D89" w14:textId="77777777" w:rsidR="00DC3EA0" w:rsidRDefault="00DC3EA0" w:rsidP="00421A0D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Textkompetenz</w:t>
            </w:r>
          </w:p>
        </w:tc>
        <w:tc>
          <w:tcPr>
            <w:tcW w:w="8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F58103" w14:textId="77777777" w:rsidR="00DC3EA0" w:rsidRDefault="00DC3EA0" w:rsidP="00421A0D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(14)</w:t>
            </w:r>
            <w:r>
              <w:rPr>
                <w:rFonts w:eastAsia="Calibri" w:cs="Times New Roman"/>
              </w:rPr>
              <w:t xml:space="preserve"> übertragen Dekodierungsverfahren, indem sie ein begründetes Verständnis des Textinhalts formulieren. → S. 51/1</w:t>
            </w:r>
          </w:p>
          <w:p w14:paraId="75632DD2" w14:textId="77777777" w:rsidR="00DC3EA0" w:rsidRDefault="00DC3EA0" w:rsidP="00421A0D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(15)</w:t>
            </w:r>
            <w:r>
              <w:rPr>
                <w:rFonts w:eastAsia="Calibri" w:cs="Times New Roman"/>
              </w:rPr>
              <w:t xml:space="preserve"> gewinnen einen Einblick in Interpretationsverfahren, indem sie Textelemente inhaltlich und formal in den Textzusammenhang einordnen. → S. 51/3</w:t>
            </w:r>
          </w:p>
          <w:p w14:paraId="78E1DA68" w14:textId="77777777" w:rsidR="00DC3EA0" w:rsidRDefault="00DC3EA0" w:rsidP="00421A0D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(15)</w:t>
            </w:r>
            <w:r>
              <w:rPr>
                <w:rFonts w:eastAsia="Calibri" w:cs="Times New Roman"/>
              </w:rPr>
              <w:t xml:space="preserve"> gewinnen einen Einblick in Interpretationsverfahren, indem sie das in den Feststellungsakten Ermittelte deuten und vertieft umsetzen. → S. 51/2</w:t>
            </w:r>
          </w:p>
        </w:tc>
      </w:tr>
      <w:tr w:rsidR="00DC3EA0" w14:paraId="36044734" w14:textId="77777777" w:rsidTr="00421A0D">
        <w:trPr>
          <w:cantSplit/>
        </w:trPr>
        <w:tc>
          <w:tcPr>
            <w:tcW w:w="31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F079B" w14:textId="77777777" w:rsidR="00DC3EA0" w:rsidRDefault="00DC3EA0" w:rsidP="00421A0D">
            <w:pPr>
              <w:widowControl w:val="0"/>
            </w:pPr>
          </w:p>
        </w:tc>
        <w:tc>
          <w:tcPr>
            <w:tcW w:w="27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3BED8" w14:textId="77777777" w:rsidR="00DC3EA0" w:rsidRDefault="00DC3EA0" w:rsidP="00421A0D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Literatur- und Kulturkompetenz</w:t>
            </w:r>
          </w:p>
        </w:tc>
        <w:tc>
          <w:tcPr>
            <w:tcW w:w="8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5D2FEB" w14:textId="77777777" w:rsidR="00DC3EA0" w:rsidRDefault="00DC3EA0" w:rsidP="00421A0D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</w:pPr>
            <w:r>
              <w:rPr>
                <w:color w:val="0000FF"/>
              </w:rPr>
              <w:t>(19)</w:t>
            </w:r>
            <w:r>
              <w:t xml:space="preserve"> gewinnen einen Einblick in wesentliche Aspekte der antiken Mythologie und Religion (Romulus und Remus, der Raub der Sabinerinnen).</w:t>
            </w:r>
          </w:p>
        </w:tc>
      </w:tr>
      <w:tr w:rsidR="00DC3EA0" w14:paraId="34091A83" w14:textId="77777777" w:rsidTr="00421A0D">
        <w:trPr>
          <w:cantSplit/>
          <w:trHeight w:val="64"/>
        </w:trPr>
        <w:tc>
          <w:tcPr>
            <w:tcW w:w="31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2C610B" w14:textId="77777777" w:rsidR="00DC3EA0" w:rsidRDefault="00DC3EA0" w:rsidP="00421A0D">
            <w:pPr>
              <w:widowControl w:val="0"/>
            </w:pPr>
          </w:p>
        </w:tc>
        <w:tc>
          <w:tcPr>
            <w:tcW w:w="27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93C3F5" w14:textId="77777777" w:rsidR="00DC3EA0" w:rsidRDefault="00DC3EA0" w:rsidP="00421A0D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Sprachlernkompetenz und Sprachbewusstheit / Sprachreflexion</w:t>
            </w:r>
          </w:p>
        </w:tc>
        <w:tc>
          <w:tcPr>
            <w:tcW w:w="8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D14320" w14:textId="77777777" w:rsidR="00DC3EA0" w:rsidRDefault="00DC3EA0" w:rsidP="00421A0D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 xml:space="preserve">(16) </w:t>
            </w:r>
            <w:r>
              <w:rPr>
                <w:rFonts w:eastAsia="Calibri" w:cs="Times New Roman"/>
              </w:rPr>
              <w:t>beherrschen auf das Lernen bezogene Strategien (Recherchieren). → S. 51/4</w:t>
            </w:r>
          </w:p>
        </w:tc>
      </w:tr>
    </w:tbl>
    <w:p w14:paraId="5C4ADF0B" w14:textId="77777777" w:rsidR="00DC3EA0" w:rsidRDefault="00DC3EA0" w:rsidP="00DC3EA0"/>
    <w:p w14:paraId="3F5B7F77" w14:textId="77777777" w:rsidR="00DC3EA0" w:rsidRDefault="00DC3EA0" w:rsidP="00DC3EA0"/>
    <w:p w14:paraId="3435C33C" w14:textId="77777777" w:rsidR="00DC3EA0" w:rsidRDefault="00DC3EA0" w:rsidP="00DC3EA0">
      <w:pPr>
        <w:rPr>
          <w:vanish/>
        </w:rPr>
      </w:pPr>
      <w:r>
        <w:br w:type="page"/>
      </w:r>
    </w:p>
    <w:tbl>
      <w:tblPr>
        <w:tblpPr w:leftFromText="141" w:rightFromText="141" w:horzAnchor="margin" w:tblpY="666"/>
        <w:tblW w:w="144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00"/>
        <w:gridCol w:w="2782"/>
        <w:gridCol w:w="8526"/>
      </w:tblGrid>
      <w:tr w:rsidR="00DC3EA0" w14:paraId="00E131EA" w14:textId="77777777" w:rsidTr="00421A0D">
        <w:trPr>
          <w:cantSplit/>
        </w:trPr>
        <w:tc>
          <w:tcPr>
            <w:tcW w:w="310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8FA7D2" w14:textId="77777777" w:rsidR="00DC3EA0" w:rsidRDefault="00DC3EA0" w:rsidP="00421A0D">
            <w:pPr>
              <w:keepNext/>
              <w:outlineLvl w:val="3"/>
              <w:rPr>
                <w:rFonts w:eastAsia="Calibri" w:cs="Times New Roman"/>
                <w:b/>
                <w:color w:val="C00000"/>
                <w:sz w:val="32"/>
              </w:rPr>
            </w:pPr>
            <w:r>
              <w:rPr>
                <w:rFonts w:eastAsia="Calibri" w:cs="Times New Roman"/>
                <w:b/>
                <w:color w:val="C00000"/>
                <w:sz w:val="32"/>
              </w:rPr>
              <w:t>Lektion 9</w:t>
            </w:r>
          </w:p>
          <w:p w14:paraId="5B25E0A7" w14:textId="77777777" w:rsidR="00DC3EA0" w:rsidRDefault="00DC3EA0" w:rsidP="00421A0D">
            <w:pPr>
              <w:rPr>
                <w:rFonts w:eastAsia="Calibri" w:cs="Times New Roman"/>
                <w:color w:val="C00000"/>
              </w:rPr>
            </w:pPr>
            <w:r>
              <w:rPr>
                <w:rFonts w:eastAsia="Calibri" w:cs="Times New Roman"/>
                <w:color w:val="C00000"/>
              </w:rPr>
              <w:t>Einer für alle</w:t>
            </w:r>
          </w:p>
          <w:p w14:paraId="57285DCE" w14:textId="77777777" w:rsidR="00DC3EA0" w:rsidRDefault="00DC3EA0" w:rsidP="00421A0D">
            <w:pPr>
              <w:rPr>
                <w:rFonts w:eastAsia="Calibri" w:cs="Times New Roman"/>
                <w:b/>
              </w:rPr>
            </w:pPr>
          </w:p>
          <w:p w14:paraId="42A37A55" w14:textId="77777777" w:rsidR="00DC3EA0" w:rsidRDefault="00DC3EA0" w:rsidP="00421A0D">
            <w:pPr>
              <w:rPr>
                <w:rFonts w:eastAsia="Calibri" w:cs="Times New Roman"/>
                <w:b/>
                <w:spacing w:val="60"/>
              </w:rPr>
            </w:pPr>
            <w:r>
              <w:rPr>
                <w:rFonts w:eastAsia="Calibri" w:cs="Times New Roman"/>
                <w:b/>
                <w:spacing w:val="60"/>
              </w:rPr>
              <w:t>Formen</w:t>
            </w:r>
          </w:p>
          <w:p w14:paraId="1498E832" w14:textId="77777777" w:rsidR="00DC3EA0" w:rsidRDefault="00DC3EA0" w:rsidP="00421A0D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1) Verben: Der Infinitiv Perfekt</w:t>
            </w:r>
          </w:p>
          <w:p w14:paraId="49108D6C" w14:textId="77777777" w:rsidR="00DC3EA0" w:rsidRDefault="00DC3EA0" w:rsidP="00421A0D">
            <w:pPr>
              <w:rPr>
                <w:b/>
                <w:spacing w:val="60"/>
              </w:rPr>
            </w:pPr>
            <w:r>
              <w:rPr>
                <w:b/>
                <w:spacing w:val="60"/>
              </w:rPr>
              <w:t>Syntax</w:t>
            </w:r>
          </w:p>
          <w:p w14:paraId="1B0E381C" w14:textId="77777777" w:rsidR="00DC3EA0" w:rsidRDefault="00DC3EA0" w:rsidP="00421A0D">
            <w:r>
              <w:t>1) Der Akkusativ mit Infinitiv</w:t>
            </w:r>
          </w:p>
        </w:tc>
        <w:tc>
          <w:tcPr>
            <w:tcW w:w="27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8B55C7" w14:textId="77777777" w:rsidR="00DC3EA0" w:rsidRDefault="00DC3EA0" w:rsidP="00421A0D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Sprachkompetenz</w:t>
            </w:r>
          </w:p>
        </w:tc>
        <w:tc>
          <w:tcPr>
            <w:tcW w:w="8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667155" w14:textId="77777777" w:rsidR="00DC3EA0" w:rsidRDefault="00DC3EA0" w:rsidP="00421A0D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(18)</w:t>
            </w:r>
            <w:r>
              <w:rPr>
                <w:rFonts w:eastAsia="Calibri" w:cs="Times New Roman"/>
              </w:rPr>
              <w:t xml:space="preserve"> beherrschen die Formenlehre des Verbs (siehe links). → S. 59, S. 141/H</w:t>
            </w:r>
          </w:p>
          <w:p w14:paraId="2416B301" w14:textId="77777777" w:rsidR="00DC3EA0" w:rsidRDefault="00DC3EA0" w:rsidP="00421A0D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(18)</w:t>
            </w:r>
            <w:r>
              <w:rPr>
                <w:rFonts w:eastAsia="Calibri" w:cs="Times New Roman"/>
              </w:rPr>
              <w:t xml:space="preserve"> beherrschen die Formenlehre der Substantive. → S. 59/F</w:t>
            </w:r>
          </w:p>
          <w:p w14:paraId="15DE0136" w14:textId="77777777" w:rsidR="00DC3EA0" w:rsidRDefault="00DC3EA0" w:rsidP="00421A0D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(17)</w:t>
            </w:r>
            <w:r>
              <w:rPr>
                <w:rFonts w:eastAsia="Calibri" w:cs="Times New Roman"/>
              </w:rPr>
              <w:t xml:space="preserve"> übertrage Kenntnisse über satzwertige Konstruktionen (siehe links). → S. 58-59, S. 141-142</w:t>
            </w:r>
          </w:p>
        </w:tc>
      </w:tr>
      <w:tr w:rsidR="00DC3EA0" w14:paraId="1B15B5D9" w14:textId="77777777" w:rsidTr="00421A0D">
        <w:trPr>
          <w:cantSplit/>
        </w:trPr>
        <w:tc>
          <w:tcPr>
            <w:tcW w:w="31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48173" w14:textId="77777777" w:rsidR="00DC3EA0" w:rsidRDefault="00DC3EA0" w:rsidP="00421A0D">
            <w:pPr>
              <w:widowControl w:val="0"/>
            </w:pPr>
          </w:p>
        </w:tc>
        <w:tc>
          <w:tcPr>
            <w:tcW w:w="27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26EF66" w14:textId="77777777" w:rsidR="00DC3EA0" w:rsidRDefault="00DC3EA0" w:rsidP="00421A0D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Textkompetenz</w:t>
            </w:r>
          </w:p>
        </w:tc>
        <w:tc>
          <w:tcPr>
            <w:tcW w:w="8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BADA19" w14:textId="77777777" w:rsidR="00DC3EA0" w:rsidRDefault="00DC3EA0" w:rsidP="00421A0D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</w:pPr>
            <w:r>
              <w:rPr>
                <w:color w:val="0000FF"/>
              </w:rPr>
              <w:t xml:space="preserve">(13) </w:t>
            </w:r>
            <w:r>
              <w:t>übertragen Dekodierungsverfahren, indem sie eine auf Textumfeld begründete Vermutung über den zu erwartenden Textinhalt anstellen (Überschrift, deutsche Einleitung, Bilder). → S. 57/1</w:t>
            </w:r>
          </w:p>
          <w:p w14:paraId="244DB3D8" w14:textId="77777777" w:rsidR="00DC3EA0" w:rsidRDefault="00DC3EA0" w:rsidP="00421A0D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</w:pPr>
            <w:r>
              <w:rPr>
                <w:color w:val="0000FF"/>
              </w:rPr>
              <w:t>(15)</w:t>
            </w:r>
            <w:r>
              <w:t xml:space="preserve"> gewinnen einen Einblick in Interpretationsverfahren, indem sie die sprachliche Gestaltung des Textes analysieren (rhetorische Mittel). → S. 57/3</w:t>
            </w:r>
          </w:p>
          <w:p w14:paraId="53F9393D" w14:textId="77777777" w:rsidR="00DC3EA0" w:rsidRDefault="00DC3EA0" w:rsidP="00421A0D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</w:pPr>
            <w:r>
              <w:rPr>
                <w:color w:val="0000FF"/>
              </w:rPr>
              <w:t xml:space="preserve">(15) </w:t>
            </w:r>
            <w:r>
              <w:t>gewinnen einen Einblick in Interpretationsverfahren, indem sie Textelemente inhaltlich und formal in den Textzusammenhang einordnen. → S. 57/2</w:t>
            </w:r>
          </w:p>
        </w:tc>
      </w:tr>
      <w:tr w:rsidR="00DC3EA0" w14:paraId="53F069B8" w14:textId="77777777" w:rsidTr="00421A0D">
        <w:trPr>
          <w:cantSplit/>
        </w:trPr>
        <w:tc>
          <w:tcPr>
            <w:tcW w:w="31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EE13C2" w14:textId="77777777" w:rsidR="00DC3EA0" w:rsidRDefault="00DC3EA0" w:rsidP="00421A0D">
            <w:pPr>
              <w:widowControl w:val="0"/>
            </w:pPr>
          </w:p>
        </w:tc>
        <w:tc>
          <w:tcPr>
            <w:tcW w:w="27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8CFB9" w14:textId="77777777" w:rsidR="00DC3EA0" w:rsidRDefault="00DC3EA0" w:rsidP="00421A0D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Literatur- und Kulturkompetenz</w:t>
            </w:r>
          </w:p>
        </w:tc>
        <w:tc>
          <w:tcPr>
            <w:tcW w:w="8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C5A24E" w14:textId="77777777" w:rsidR="00DC3EA0" w:rsidRDefault="00DC3EA0" w:rsidP="00421A0D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(19)</w:t>
            </w:r>
            <w:r>
              <w:rPr>
                <w:rFonts w:eastAsia="Calibri" w:cs="Times New Roman"/>
              </w:rPr>
              <w:t xml:space="preserve"> gewinnen einen Einblick in wesentliche Ereignisse der römischen Geschichte (die Etrusker)</w:t>
            </w:r>
          </w:p>
        </w:tc>
      </w:tr>
      <w:tr w:rsidR="00DC3EA0" w14:paraId="0D9F15BF" w14:textId="77777777" w:rsidTr="00421A0D">
        <w:trPr>
          <w:cantSplit/>
          <w:trHeight w:val="64"/>
        </w:trPr>
        <w:tc>
          <w:tcPr>
            <w:tcW w:w="31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149A73" w14:textId="77777777" w:rsidR="00DC3EA0" w:rsidRDefault="00DC3EA0" w:rsidP="00421A0D">
            <w:pPr>
              <w:widowControl w:val="0"/>
            </w:pPr>
          </w:p>
        </w:tc>
        <w:tc>
          <w:tcPr>
            <w:tcW w:w="27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76091E" w14:textId="77777777" w:rsidR="00DC3EA0" w:rsidRDefault="00DC3EA0" w:rsidP="00421A0D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Sprachlernkompetenz und Sprachbewusstheit / Sprachreflexion</w:t>
            </w:r>
          </w:p>
        </w:tc>
        <w:tc>
          <w:tcPr>
            <w:tcW w:w="8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48877B" w14:textId="77777777" w:rsidR="00DC3EA0" w:rsidRDefault="00DC3EA0" w:rsidP="00421A0D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(16)</w:t>
            </w:r>
            <w:r>
              <w:rPr>
                <w:rFonts w:eastAsia="Calibri" w:cs="Times New Roman"/>
              </w:rPr>
              <w:t xml:space="preserve"> beherrschen auf das Lernen bezogene Strategien (Recherchieren). → S. 56/1</w:t>
            </w:r>
          </w:p>
          <w:p w14:paraId="1E8273BF" w14:textId="77777777" w:rsidR="00DC3EA0" w:rsidRDefault="00DC3EA0" w:rsidP="00421A0D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 xml:space="preserve">(17) </w:t>
            </w:r>
            <w:r>
              <w:rPr>
                <w:rFonts w:eastAsia="Calibri" w:cs="Times New Roman"/>
              </w:rPr>
              <w:t>beherrschen Grundmuster der Wortbildungslehre (Präfixe). → S. 143/M</w:t>
            </w:r>
          </w:p>
        </w:tc>
      </w:tr>
    </w:tbl>
    <w:p w14:paraId="2B11EC12" w14:textId="77777777" w:rsidR="00DC3EA0" w:rsidRDefault="00DC3EA0" w:rsidP="00DC3EA0"/>
    <w:p w14:paraId="699A4468" w14:textId="77777777" w:rsidR="00DC3EA0" w:rsidRDefault="00DC3EA0" w:rsidP="00DC3EA0"/>
    <w:p w14:paraId="5E3F29C3" w14:textId="77777777" w:rsidR="00DC3EA0" w:rsidRDefault="00DC3EA0" w:rsidP="00DC3EA0">
      <w:pPr>
        <w:rPr>
          <w:vanish/>
        </w:rPr>
      </w:pPr>
      <w:r>
        <w:br w:type="page"/>
      </w:r>
    </w:p>
    <w:tbl>
      <w:tblPr>
        <w:tblpPr w:leftFromText="141" w:rightFromText="141" w:horzAnchor="margin" w:tblpY="709"/>
        <w:tblW w:w="144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00"/>
        <w:gridCol w:w="2782"/>
        <w:gridCol w:w="8526"/>
      </w:tblGrid>
      <w:tr w:rsidR="00DC3EA0" w14:paraId="3F7B8986" w14:textId="77777777" w:rsidTr="00421A0D">
        <w:trPr>
          <w:cantSplit/>
        </w:trPr>
        <w:tc>
          <w:tcPr>
            <w:tcW w:w="310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3211D4" w14:textId="77777777" w:rsidR="00DC3EA0" w:rsidRDefault="00DC3EA0" w:rsidP="00421A0D">
            <w:pPr>
              <w:keepNext/>
              <w:outlineLvl w:val="3"/>
              <w:rPr>
                <w:rFonts w:eastAsia="Calibri" w:cs="Times New Roman"/>
                <w:b/>
                <w:color w:val="C00000"/>
                <w:sz w:val="32"/>
              </w:rPr>
            </w:pPr>
            <w:r>
              <w:rPr>
                <w:rFonts w:eastAsia="Calibri" w:cs="Times New Roman"/>
                <w:b/>
                <w:color w:val="C00000"/>
                <w:sz w:val="32"/>
              </w:rPr>
              <w:t>Lektion 10</w:t>
            </w:r>
          </w:p>
          <w:p w14:paraId="73E2D2BF" w14:textId="77777777" w:rsidR="00DC3EA0" w:rsidRDefault="00DC3EA0" w:rsidP="00421A0D">
            <w:pPr>
              <w:rPr>
                <w:rFonts w:eastAsia="Calibri" w:cs="Times New Roman"/>
                <w:color w:val="C00000"/>
              </w:rPr>
            </w:pPr>
            <w:r>
              <w:rPr>
                <w:rFonts w:eastAsia="Calibri" w:cs="Times New Roman"/>
                <w:color w:val="C00000"/>
              </w:rPr>
              <w:t>Das Maß ist voll</w:t>
            </w:r>
          </w:p>
          <w:p w14:paraId="5FBBD655" w14:textId="77777777" w:rsidR="00DC3EA0" w:rsidRDefault="00DC3EA0" w:rsidP="00421A0D">
            <w:pPr>
              <w:rPr>
                <w:rFonts w:eastAsia="Calibri" w:cs="Times New Roman"/>
                <w:b/>
              </w:rPr>
            </w:pPr>
          </w:p>
          <w:p w14:paraId="441A58EA" w14:textId="77777777" w:rsidR="00DC3EA0" w:rsidRDefault="00DC3EA0" w:rsidP="00421A0D">
            <w:pPr>
              <w:rPr>
                <w:rFonts w:eastAsia="Calibri" w:cs="Times New Roman"/>
                <w:b/>
                <w:spacing w:val="60"/>
              </w:rPr>
            </w:pPr>
            <w:r>
              <w:rPr>
                <w:rFonts w:eastAsia="Calibri" w:cs="Times New Roman"/>
                <w:b/>
                <w:spacing w:val="60"/>
              </w:rPr>
              <w:t>Formen</w:t>
            </w:r>
          </w:p>
          <w:p w14:paraId="41D1E146" w14:textId="77777777" w:rsidR="00DC3EA0" w:rsidRDefault="00DC3EA0" w:rsidP="00421A0D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1) Die Adjektive der a- und o-Deklination</w:t>
            </w:r>
          </w:p>
          <w:p w14:paraId="2BBC1339" w14:textId="77777777" w:rsidR="00DC3EA0" w:rsidRDefault="00DC3EA0" w:rsidP="00421A0D">
            <w:pPr>
              <w:rPr>
                <w:b/>
                <w:spacing w:val="60"/>
              </w:rPr>
            </w:pPr>
            <w:r>
              <w:rPr>
                <w:b/>
                <w:spacing w:val="60"/>
              </w:rPr>
              <w:t>Syntax</w:t>
            </w:r>
          </w:p>
          <w:p w14:paraId="693A2E8C" w14:textId="77777777" w:rsidR="00DC3EA0" w:rsidRDefault="00DC3EA0" w:rsidP="00421A0D">
            <w:r>
              <w:t>1) Adjektive: Die KNG-Kongruenz</w:t>
            </w:r>
          </w:p>
          <w:p w14:paraId="78189D94" w14:textId="77777777" w:rsidR="00DC3EA0" w:rsidRDefault="00DC3EA0" w:rsidP="00421A0D">
            <w:r>
              <w:t>2) Das Adjektiv als Attribut</w:t>
            </w:r>
          </w:p>
          <w:p w14:paraId="6362261B" w14:textId="77777777" w:rsidR="00DC3EA0" w:rsidRDefault="00DC3EA0" w:rsidP="00421A0D">
            <w:r>
              <w:t>3) Das Adjektiv als Prädikatsnomen</w:t>
            </w:r>
          </w:p>
          <w:p w14:paraId="475CD703" w14:textId="77777777" w:rsidR="00DC3EA0" w:rsidRDefault="00DC3EA0" w:rsidP="00421A0D">
            <w:r>
              <w:t>4) Der Ablativ als Adverbiale: Ablativ der Zeit</w:t>
            </w:r>
          </w:p>
        </w:tc>
        <w:tc>
          <w:tcPr>
            <w:tcW w:w="27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B17BEF" w14:textId="77777777" w:rsidR="00DC3EA0" w:rsidRDefault="00DC3EA0" w:rsidP="00421A0D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Sprachkompetenz</w:t>
            </w:r>
          </w:p>
        </w:tc>
        <w:tc>
          <w:tcPr>
            <w:tcW w:w="8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EC649A" w14:textId="77777777" w:rsidR="00DC3EA0" w:rsidRDefault="00DC3EA0" w:rsidP="00421A0D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(18)</w:t>
            </w:r>
            <w:r>
              <w:rPr>
                <w:rFonts w:eastAsia="Calibri" w:cs="Times New Roman"/>
              </w:rPr>
              <w:t xml:space="preserve"> beherrschen die Formenlehre des Adjektivs (siehe links). → S. 62, S.63/F, S. 147/F+S1</w:t>
            </w:r>
          </w:p>
          <w:p w14:paraId="15DC4D8D" w14:textId="77777777" w:rsidR="00DC3EA0" w:rsidRDefault="00DC3EA0" w:rsidP="00421A0D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(17)</w:t>
            </w:r>
            <w:r>
              <w:rPr>
                <w:rFonts w:eastAsia="Calibri" w:cs="Times New Roman"/>
              </w:rPr>
              <w:t xml:space="preserve"> beherrschen die Wortarten. → S. 148/S2+S3</w:t>
            </w:r>
          </w:p>
          <w:p w14:paraId="3F97D963" w14:textId="77777777" w:rsidR="00DC3EA0" w:rsidRDefault="00DC3EA0" w:rsidP="00421A0D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(17)</w:t>
            </w:r>
            <w:r>
              <w:rPr>
                <w:rFonts w:eastAsia="Calibri" w:cs="Times New Roman"/>
              </w:rPr>
              <w:t xml:space="preserve"> kennen die Kasusbedeutungen (Ablativ der Zeit). → S. 148/S4, S. 63/E</w:t>
            </w:r>
          </w:p>
        </w:tc>
      </w:tr>
      <w:tr w:rsidR="00DC3EA0" w14:paraId="46E485BC" w14:textId="77777777" w:rsidTr="00421A0D">
        <w:trPr>
          <w:cantSplit/>
        </w:trPr>
        <w:tc>
          <w:tcPr>
            <w:tcW w:w="31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57BC5D" w14:textId="77777777" w:rsidR="00DC3EA0" w:rsidRDefault="00DC3EA0" w:rsidP="00421A0D">
            <w:pPr>
              <w:widowControl w:val="0"/>
            </w:pPr>
          </w:p>
        </w:tc>
        <w:tc>
          <w:tcPr>
            <w:tcW w:w="27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E1F7BB" w14:textId="77777777" w:rsidR="00DC3EA0" w:rsidRDefault="00DC3EA0" w:rsidP="00421A0D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Textkompetenz</w:t>
            </w:r>
          </w:p>
        </w:tc>
        <w:tc>
          <w:tcPr>
            <w:tcW w:w="8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E98067" w14:textId="77777777" w:rsidR="00DC3EA0" w:rsidRDefault="00DC3EA0" w:rsidP="00421A0D">
            <w:pPr>
              <w:numPr>
                <w:ilvl w:val="0"/>
                <w:numId w:val="3"/>
              </w:numPr>
              <w:suppressAutoHyphens/>
              <w:autoSpaceDN w:val="0"/>
              <w:textAlignment w:val="baseline"/>
            </w:pPr>
            <w:r>
              <w:rPr>
                <w:color w:val="0000FF"/>
              </w:rPr>
              <w:t xml:space="preserve">(13) </w:t>
            </w:r>
            <w:r>
              <w:t>übertragen Dekodierungsverfahren, in sie eine auf Textumfeld begründete Vermutung über den zu erwartenden Textinhalt anstellen (deutsche Einleitung). → S. 61/1</w:t>
            </w:r>
          </w:p>
          <w:p w14:paraId="18EFA8A1" w14:textId="77777777" w:rsidR="00DC3EA0" w:rsidRDefault="00DC3EA0" w:rsidP="00421A0D">
            <w:pPr>
              <w:numPr>
                <w:ilvl w:val="0"/>
                <w:numId w:val="3"/>
              </w:numPr>
              <w:suppressAutoHyphens/>
              <w:autoSpaceDN w:val="0"/>
              <w:textAlignment w:val="baseline"/>
            </w:pPr>
            <w:r>
              <w:rPr>
                <w:color w:val="0000FF"/>
              </w:rPr>
              <w:t>(14)</w:t>
            </w:r>
            <w:r>
              <w:t xml:space="preserve"> übertragen Dekodierungsverfahren, indem sie ein begründetes Verständnis des Textinhalts formulieren (Deutung des möglichen Informationsgehalts einzelner Kerninformationen). → S. 61/1</w:t>
            </w:r>
          </w:p>
          <w:p w14:paraId="3D24E2F9" w14:textId="77777777" w:rsidR="00DC3EA0" w:rsidRDefault="00DC3EA0" w:rsidP="00421A0D">
            <w:pPr>
              <w:numPr>
                <w:ilvl w:val="0"/>
                <w:numId w:val="3"/>
              </w:numPr>
              <w:suppressAutoHyphens/>
              <w:autoSpaceDN w:val="0"/>
              <w:textAlignment w:val="baseline"/>
            </w:pPr>
            <w:r>
              <w:rPr>
                <w:color w:val="0000FF"/>
              </w:rPr>
              <w:t>(15)</w:t>
            </w:r>
            <w:r>
              <w:t xml:space="preserve"> gewinnen einen Einblick in Interpretationsverfahren, indem sie Textelemente inhaltlich und formal in den Textzusammenhang einordnen. → S. 61/2+3</w:t>
            </w:r>
          </w:p>
          <w:p w14:paraId="4B2433D0" w14:textId="77777777" w:rsidR="00DC3EA0" w:rsidRDefault="00DC3EA0" w:rsidP="00421A0D">
            <w:pPr>
              <w:numPr>
                <w:ilvl w:val="0"/>
                <w:numId w:val="3"/>
              </w:numPr>
              <w:suppressAutoHyphens/>
              <w:autoSpaceDN w:val="0"/>
              <w:textAlignment w:val="baseline"/>
            </w:pPr>
            <w:r>
              <w:rPr>
                <w:color w:val="0000FF"/>
              </w:rPr>
              <w:t>(15)</w:t>
            </w:r>
            <w:r>
              <w:t xml:space="preserve"> gewinnen einen Einblick in Interpretationsverfahren, indem sie das in den Feststellungsakten Ermittelte deuten und vertieft umsetzen. → S. 61/4</w:t>
            </w:r>
          </w:p>
        </w:tc>
      </w:tr>
      <w:tr w:rsidR="00DC3EA0" w14:paraId="0FDD7FF3" w14:textId="77777777" w:rsidTr="00421A0D">
        <w:trPr>
          <w:cantSplit/>
        </w:trPr>
        <w:tc>
          <w:tcPr>
            <w:tcW w:w="31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EB489A" w14:textId="77777777" w:rsidR="00DC3EA0" w:rsidRDefault="00DC3EA0" w:rsidP="00421A0D">
            <w:pPr>
              <w:widowControl w:val="0"/>
            </w:pPr>
          </w:p>
        </w:tc>
        <w:tc>
          <w:tcPr>
            <w:tcW w:w="27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4D047A" w14:textId="77777777" w:rsidR="00DC3EA0" w:rsidRDefault="00DC3EA0" w:rsidP="00421A0D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Literatur- und Kulturkompetenz</w:t>
            </w:r>
          </w:p>
        </w:tc>
        <w:tc>
          <w:tcPr>
            <w:tcW w:w="8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B18F91" w14:textId="77777777" w:rsidR="00DC3EA0" w:rsidRDefault="00DC3EA0" w:rsidP="00421A0D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(19)</w:t>
            </w:r>
            <w:r>
              <w:rPr>
                <w:rFonts w:eastAsia="Calibri" w:cs="Times New Roman"/>
              </w:rPr>
              <w:t xml:space="preserve"> gewinnen einen Einblick in wesentliche Ereignisse der römischen Geschichte (Etrusker, Tarquinius Superbus).</w:t>
            </w:r>
          </w:p>
        </w:tc>
      </w:tr>
      <w:tr w:rsidR="00DC3EA0" w14:paraId="3EF4B489" w14:textId="77777777" w:rsidTr="00421A0D">
        <w:trPr>
          <w:cantSplit/>
          <w:trHeight w:val="64"/>
        </w:trPr>
        <w:tc>
          <w:tcPr>
            <w:tcW w:w="31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8251B0" w14:textId="77777777" w:rsidR="00DC3EA0" w:rsidRDefault="00DC3EA0" w:rsidP="00421A0D">
            <w:pPr>
              <w:widowControl w:val="0"/>
            </w:pPr>
          </w:p>
        </w:tc>
        <w:tc>
          <w:tcPr>
            <w:tcW w:w="27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4A090" w14:textId="77777777" w:rsidR="00DC3EA0" w:rsidRDefault="00DC3EA0" w:rsidP="00421A0D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Sprachlernkompetenz und Sprachbewusstheit / Sprachreflexion</w:t>
            </w:r>
          </w:p>
        </w:tc>
        <w:tc>
          <w:tcPr>
            <w:tcW w:w="8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05CB3" w14:textId="77777777" w:rsidR="00DC3EA0" w:rsidRDefault="00DC3EA0" w:rsidP="00421A0D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(16)</w:t>
            </w:r>
            <w:r>
              <w:rPr>
                <w:rFonts w:eastAsia="Calibri" w:cs="Times New Roman"/>
              </w:rPr>
              <w:t xml:space="preserve"> beherrschen auf das Lernen bezogene Strategien (Recherchieren) → S. 60</w:t>
            </w:r>
          </w:p>
          <w:p w14:paraId="2AC11532" w14:textId="77777777" w:rsidR="00DC3EA0" w:rsidRDefault="00DC3EA0" w:rsidP="00421A0D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(17)</w:t>
            </w:r>
            <w:r>
              <w:rPr>
                <w:rFonts w:eastAsia="Calibri" w:cs="Times New Roman"/>
              </w:rPr>
              <w:t xml:space="preserve"> übertragen lateinische Lexikkenntnisse auf andere Sprachen. → S. 63/G, S. 146/1</w:t>
            </w:r>
          </w:p>
          <w:p w14:paraId="4C56F4A8" w14:textId="77777777" w:rsidR="00DC3EA0" w:rsidRDefault="00DC3EA0" w:rsidP="00421A0D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 xml:space="preserve">(17) </w:t>
            </w:r>
            <w:r>
              <w:rPr>
                <w:rFonts w:eastAsia="Calibri" w:cs="Times New Roman"/>
              </w:rPr>
              <w:t>beherrschen Grundmuster der Wortbildungslehre (Suffixe). → S. 149/M</w:t>
            </w:r>
          </w:p>
        </w:tc>
      </w:tr>
    </w:tbl>
    <w:p w14:paraId="4CBECE00" w14:textId="77777777" w:rsidR="00DC3EA0" w:rsidRDefault="00DC3EA0" w:rsidP="00DC3EA0"/>
    <w:p w14:paraId="4EF1B4DC" w14:textId="77777777" w:rsidR="00DC3EA0" w:rsidRDefault="00DC3EA0" w:rsidP="00DC3EA0"/>
    <w:p w14:paraId="29B4341D" w14:textId="77777777" w:rsidR="00DC3EA0" w:rsidRDefault="00DC3EA0" w:rsidP="00DC3EA0">
      <w:pPr>
        <w:rPr>
          <w:vanish/>
        </w:rPr>
      </w:pPr>
      <w:r>
        <w:br w:type="page"/>
      </w:r>
    </w:p>
    <w:tbl>
      <w:tblPr>
        <w:tblpPr w:leftFromText="141" w:rightFromText="141" w:horzAnchor="margin" w:tblpY="666"/>
        <w:tblW w:w="144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00"/>
        <w:gridCol w:w="2782"/>
        <w:gridCol w:w="8526"/>
      </w:tblGrid>
      <w:tr w:rsidR="00DC3EA0" w14:paraId="1A2D2A64" w14:textId="77777777" w:rsidTr="00421A0D">
        <w:trPr>
          <w:cantSplit/>
        </w:trPr>
        <w:tc>
          <w:tcPr>
            <w:tcW w:w="310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00E5C" w14:textId="77777777" w:rsidR="00DC3EA0" w:rsidRDefault="00DC3EA0" w:rsidP="00421A0D">
            <w:pPr>
              <w:keepNext/>
              <w:outlineLvl w:val="3"/>
              <w:rPr>
                <w:rFonts w:eastAsia="Calibri" w:cs="Times New Roman"/>
                <w:b/>
                <w:color w:val="C00000"/>
                <w:sz w:val="32"/>
              </w:rPr>
            </w:pPr>
            <w:r>
              <w:rPr>
                <w:rFonts w:eastAsia="Calibri" w:cs="Times New Roman"/>
                <w:b/>
                <w:color w:val="C00000"/>
                <w:sz w:val="32"/>
              </w:rPr>
              <w:t>Lektion 11</w:t>
            </w:r>
          </w:p>
          <w:p w14:paraId="1173A063" w14:textId="77777777" w:rsidR="00DC3EA0" w:rsidRDefault="00DC3EA0" w:rsidP="00421A0D">
            <w:pPr>
              <w:rPr>
                <w:rFonts w:eastAsia="Calibri" w:cs="Times New Roman"/>
                <w:color w:val="C00000"/>
              </w:rPr>
            </w:pPr>
            <w:r>
              <w:rPr>
                <w:rFonts w:eastAsia="Calibri" w:cs="Times New Roman"/>
                <w:color w:val="C00000"/>
              </w:rPr>
              <w:t>Hannibal ante portas</w:t>
            </w:r>
          </w:p>
          <w:p w14:paraId="1BDCBBF4" w14:textId="77777777" w:rsidR="00DC3EA0" w:rsidRDefault="00DC3EA0" w:rsidP="00421A0D">
            <w:pPr>
              <w:rPr>
                <w:rFonts w:eastAsia="Calibri" w:cs="Times New Roman"/>
                <w:b/>
              </w:rPr>
            </w:pPr>
          </w:p>
          <w:p w14:paraId="7E233147" w14:textId="77777777" w:rsidR="00DC3EA0" w:rsidRDefault="00DC3EA0" w:rsidP="00421A0D">
            <w:pPr>
              <w:rPr>
                <w:rFonts w:eastAsia="Calibri" w:cs="Times New Roman"/>
                <w:b/>
                <w:spacing w:val="60"/>
              </w:rPr>
            </w:pPr>
            <w:r>
              <w:rPr>
                <w:rFonts w:eastAsia="Calibri" w:cs="Times New Roman"/>
                <w:b/>
                <w:spacing w:val="60"/>
              </w:rPr>
              <w:t>Formen</w:t>
            </w:r>
          </w:p>
          <w:p w14:paraId="27266ABE" w14:textId="77777777" w:rsidR="00DC3EA0" w:rsidRDefault="00DC3EA0" w:rsidP="00421A0D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1) Perfektbildung: s-, Dehnung, Reduplikation, ohne Stammveränderung</w:t>
            </w:r>
          </w:p>
          <w:p w14:paraId="07D9B326" w14:textId="77777777" w:rsidR="00DC3EA0" w:rsidRDefault="00DC3EA0" w:rsidP="00421A0D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2) Das Personalpronomen</w:t>
            </w:r>
          </w:p>
          <w:p w14:paraId="45BA6E27" w14:textId="77777777" w:rsidR="00DC3EA0" w:rsidRDefault="00DC3EA0" w:rsidP="00421A0D">
            <w:pPr>
              <w:rPr>
                <w:b/>
                <w:spacing w:val="60"/>
              </w:rPr>
            </w:pPr>
            <w:r>
              <w:rPr>
                <w:b/>
                <w:spacing w:val="60"/>
              </w:rPr>
              <w:t>Syntax</w:t>
            </w:r>
          </w:p>
          <w:p w14:paraId="1C20B499" w14:textId="77777777" w:rsidR="00DC3EA0" w:rsidRDefault="00DC3EA0" w:rsidP="00421A0D">
            <w:r>
              <w:t>1) Das Personalpronomen: Verwendung</w:t>
            </w:r>
          </w:p>
        </w:tc>
        <w:tc>
          <w:tcPr>
            <w:tcW w:w="27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BD10AC" w14:textId="77777777" w:rsidR="00DC3EA0" w:rsidRDefault="00DC3EA0" w:rsidP="00421A0D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Sprachkompetenz</w:t>
            </w:r>
          </w:p>
        </w:tc>
        <w:tc>
          <w:tcPr>
            <w:tcW w:w="8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356E13" w14:textId="77777777" w:rsidR="00DC3EA0" w:rsidRDefault="00DC3EA0" w:rsidP="00421A0D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(18)</w:t>
            </w:r>
            <w:r>
              <w:rPr>
                <w:rFonts w:eastAsia="Calibri" w:cs="Times New Roman"/>
              </w:rPr>
              <w:t xml:space="preserve"> beherrschen die Formenlehre des Verbs (siehe links). → S. 68, S. 153/F1</w:t>
            </w:r>
          </w:p>
          <w:p w14:paraId="21CCB5B5" w14:textId="77777777" w:rsidR="00DC3EA0" w:rsidRDefault="00DC3EA0" w:rsidP="00421A0D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(18)</w:t>
            </w:r>
            <w:r>
              <w:rPr>
                <w:rFonts w:eastAsia="Calibri" w:cs="Times New Roman"/>
              </w:rPr>
              <w:t xml:space="preserve"> beherrschen die Formenlehre der Pronomina (siehe links). → S. 68, S. 154/F2+S</w:t>
            </w:r>
          </w:p>
          <w:p w14:paraId="45639C52" w14:textId="77777777" w:rsidR="00DC3EA0" w:rsidRDefault="00DC3EA0" w:rsidP="00421A0D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(17)</w:t>
            </w:r>
            <w:r>
              <w:rPr>
                <w:rFonts w:eastAsia="Calibri" w:cs="Times New Roman"/>
              </w:rPr>
              <w:t xml:space="preserve"> beherrschen der Wortarten. → S. 69/F</w:t>
            </w:r>
          </w:p>
          <w:p w14:paraId="1970DF24" w14:textId="77777777" w:rsidR="00DC3EA0" w:rsidRDefault="00DC3EA0" w:rsidP="00421A0D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(17)</w:t>
            </w:r>
            <w:r>
              <w:rPr>
                <w:rFonts w:eastAsia="Calibri" w:cs="Times New Roman"/>
              </w:rPr>
              <w:t xml:space="preserve"> kennen die Sinnrichtungen der Nebensätze. → S. 69/E</w:t>
            </w:r>
          </w:p>
        </w:tc>
      </w:tr>
      <w:tr w:rsidR="00DC3EA0" w14:paraId="7FFBCD0A" w14:textId="77777777" w:rsidTr="00421A0D">
        <w:trPr>
          <w:cantSplit/>
        </w:trPr>
        <w:tc>
          <w:tcPr>
            <w:tcW w:w="31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C00EA7" w14:textId="77777777" w:rsidR="00DC3EA0" w:rsidRDefault="00DC3EA0" w:rsidP="00421A0D">
            <w:pPr>
              <w:widowControl w:val="0"/>
            </w:pPr>
          </w:p>
        </w:tc>
        <w:tc>
          <w:tcPr>
            <w:tcW w:w="27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EEBB7" w14:textId="77777777" w:rsidR="00DC3EA0" w:rsidRDefault="00DC3EA0" w:rsidP="00421A0D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Textkompetenz</w:t>
            </w:r>
          </w:p>
        </w:tc>
        <w:tc>
          <w:tcPr>
            <w:tcW w:w="8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5BD87" w14:textId="77777777" w:rsidR="00DC3EA0" w:rsidRDefault="00DC3EA0" w:rsidP="00421A0D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(13)</w:t>
            </w:r>
            <w:r>
              <w:rPr>
                <w:rFonts w:eastAsia="Calibri" w:cs="Times New Roman"/>
              </w:rPr>
              <w:t xml:space="preserve"> übertragen Dekodierungsverfahren, indem sie eine auf Textumfeld begründete Vermutung über den zu erwartenden Textinhalt anstellen (deutsche Einleitung). → S. 67/1</w:t>
            </w:r>
          </w:p>
          <w:p w14:paraId="4E6482B0" w14:textId="77777777" w:rsidR="00DC3EA0" w:rsidRDefault="00DC3EA0" w:rsidP="00421A0D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(14)</w:t>
            </w:r>
            <w:r>
              <w:rPr>
                <w:rFonts w:eastAsia="Calibri" w:cs="Times New Roman"/>
              </w:rPr>
              <w:t xml:space="preserve"> übertragen Dekodierungsverfahren, indem sie eine auf vorherrschende Textmerkmale begründete Hypothesenbildung zum wahrscheinlichen Textinhalt anstellen (Eigennamen). → S. 67/2</w:t>
            </w:r>
          </w:p>
          <w:p w14:paraId="00F67EF2" w14:textId="77777777" w:rsidR="00DC3EA0" w:rsidRDefault="00DC3EA0" w:rsidP="00421A0D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(15)</w:t>
            </w:r>
            <w:r>
              <w:rPr>
                <w:rFonts w:eastAsia="Calibri" w:cs="Times New Roman"/>
              </w:rPr>
              <w:t xml:space="preserve"> gewinnen einen Einblick in Interpretationsverfahren, indem sie Textelemente inhaltlich und formal in den Textzusammenhang einordnen. → S. 67/3</w:t>
            </w:r>
          </w:p>
          <w:p w14:paraId="0B70C32A" w14:textId="77777777" w:rsidR="00DC3EA0" w:rsidRDefault="00DC3EA0" w:rsidP="00421A0D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(14)</w:t>
            </w:r>
            <w:r>
              <w:rPr>
                <w:rFonts w:eastAsia="Calibri" w:cs="Times New Roman"/>
              </w:rPr>
              <w:t xml:space="preserve"> gewinnen einen Einblick in Interpretationsverfahren, indem sie das in den Feststellungsakten Ermittelte deuten und vertieft umsetzen. → S. 67/3+4</w:t>
            </w:r>
          </w:p>
        </w:tc>
      </w:tr>
      <w:tr w:rsidR="00DC3EA0" w14:paraId="274927E9" w14:textId="77777777" w:rsidTr="00421A0D">
        <w:trPr>
          <w:cantSplit/>
        </w:trPr>
        <w:tc>
          <w:tcPr>
            <w:tcW w:w="31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F5F978" w14:textId="77777777" w:rsidR="00DC3EA0" w:rsidRDefault="00DC3EA0" w:rsidP="00421A0D">
            <w:pPr>
              <w:widowControl w:val="0"/>
            </w:pPr>
          </w:p>
        </w:tc>
        <w:tc>
          <w:tcPr>
            <w:tcW w:w="27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706A5A" w14:textId="77777777" w:rsidR="00DC3EA0" w:rsidRDefault="00DC3EA0" w:rsidP="00421A0D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Literatur- und Kulturkompetenz</w:t>
            </w:r>
          </w:p>
        </w:tc>
        <w:tc>
          <w:tcPr>
            <w:tcW w:w="8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ACDEFB" w14:textId="77777777" w:rsidR="00DC3EA0" w:rsidRDefault="00DC3EA0" w:rsidP="00421A0D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</w:pPr>
            <w:r>
              <w:rPr>
                <w:color w:val="0000FF"/>
              </w:rPr>
              <w:t>(19)</w:t>
            </w:r>
            <w:r>
              <w:t xml:space="preserve"> gewinnen einen Einblick in wesentliche Ereignisse der römischen Geschichte (Die Punischen Kriege, Hannibal).</w:t>
            </w:r>
          </w:p>
          <w:p w14:paraId="15F30666" w14:textId="77777777" w:rsidR="00DC3EA0" w:rsidRDefault="00DC3EA0" w:rsidP="00421A0D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</w:pPr>
            <w:r>
              <w:rPr>
                <w:color w:val="0000FF"/>
              </w:rPr>
              <w:t xml:space="preserve">(19) </w:t>
            </w:r>
            <w:r>
              <w:t>gewinnen einen Einblick in wesentliche Aspekte der antiken Mythologie und Religion (Dido und Äneas). → S. 66</w:t>
            </w:r>
          </w:p>
        </w:tc>
      </w:tr>
      <w:tr w:rsidR="00DC3EA0" w14:paraId="102F4DD2" w14:textId="77777777" w:rsidTr="00421A0D">
        <w:trPr>
          <w:cantSplit/>
          <w:trHeight w:val="64"/>
        </w:trPr>
        <w:tc>
          <w:tcPr>
            <w:tcW w:w="31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CD99B" w14:textId="77777777" w:rsidR="00DC3EA0" w:rsidRDefault="00DC3EA0" w:rsidP="00421A0D">
            <w:pPr>
              <w:widowControl w:val="0"/>
            </w:pPr>
          </w:p>
        </w:tc>
        <w:tc>
          <w:tcPr>
            <w:tcW w:w="27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84DF7C" w14:textId="77777777" w:rsidR="00DC3EA0" w:rsidRDefault="00DC3EA0" w:rsidP="00421A0D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Sprachlernkompetenz und Sprachbewusstheit / Sprachreflexion</w:t>
            </w:r>
          </w:p>
        </w:tc>
        <w:tc>
          <w:tcPr>
            <w:tcW w:w="8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7E5929" w14:textId="77777777" w:rsidR="00DC3EA0" w:rsidRDefault="00DC3EA0" w:rsidP="00421A0D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 xml:space="preserve">(16) </w:t>
            </w:r>
            <w:r>
              <w:rPr>
                <w:rFonts w:eastAsia="Calibri" w:cs="Times New Roman"/>
              </w:rPr>
              <w:t>beherrschen auf das Lernen bezogene Strategien (Recherchieren). → S. 66, S. 155/M</w:t>
            </w:r>
          </w:p>
        </w:tc>
      </w:tr>
    </w:tbl>
    <w:p w14:paraId="01C92631" w14:textId="77777777" w:rsidR="00DC3EA0" w:rsidRDefault="00DC3EA0" w:rsidP="00DC3EA0"/>
    <w:p w14:paraId="1CCAE26C" w14:textId="77777777" w:rsidR="00DC3EA0" w:rsidRDefault="00DC3EA0" w:rsidP="00DC3EA0"/>
    <w:p w14:paraId="2E5CFAB1" w14:textId="77777777" w:rsidR="00DC3EA0" w:rsidRDefault="00DC3EA0" w:rsidP="00DC3EA0">
      <w:pPr>
        <w:rPr>
          <w:vanish/>
        </w:rPr>
      </w:pPr>
      <w:r>
        <w:br w:type="page"/>
      </w:r>
    </w:p>
    <w:tbl>
      <w:tblPr>
        <w:tblpPr w:leftFromText="141" w:rightFromText="141" w:horzAnchor="margin" w:tblpY="623"/>
        <w:tblW w:w="144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00"/>
        <w:gridCol w:w="2782"/>
        <w:gridCol w:w="8526"/>
      </w:tblGrid>
      <w:tr w:rsidR="00DC3EA0" w14:paraId="3BA2E4FA" w14:textId="77777777" w:rsidTr="00421A0D">
        <w:trPr>
          <w:cantSplit/>
        </w:trPr>
        <w:tc>
          <w:tcPr>
            <w:tcW w:w="310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0A1E49" w14:textId="77777777" w:rsidR="00DC3EA0" w:rsidRDefault="00DC3EA0" w:rsidP="00421A0D">
            <w:pPr>
              <w:keepNext/>
              <w:outlineLvl w:val="3"/>
              <w:rPr>
                <w:rFonts w:eastAsia="Calibri" w:cs="Times New Roman"/>
                <w:b/>
                <w:color w:val="C00000"/>
                <w:sz w:val="32"/>
              </w:rPr>
            </w:pPr>
            <w:r>
              <w:rPr>
                <w:rFonts w:eastAsia="Calibri" w:cs="Times New Roman"/>
                <w:b/>
                <w:color w:val="C00000"/>
                <w:sz w:val="32"/>
              </w:rPr>
              <w:t>Lektion 12</w:t>
            </w:r>
          </w:p>
          <w:p w14:paraId="5F38A305" w14:textId="77777777" w:rsidR="00DC3EA0" w:rsidRDefault="00DC3EA0" w:rsidP="00421A0D">
            <w:pPr>
              <w:rPr>
                <w:rFonts w:eastAsia="Calibri" w:cs="Times New Roman"/>
                <w:color w:val="C00000"/>
              </w:rPr>
            </w:pPr>
            <w:r>
              <w:rPr>
                <w:rFonts w:eastAsia="Calibri" w:cs="Times New Roman"/>
                <w:color w:val="C00000"/>
              </w:rPr>
              <w:t>Die Römer bleiben Sieger</w:t>
            </w:r>
          </w:p>
          <w:p w14:paraId="1AD2E21E" w14:textId="77777777" w:rsidR="00DC3EA0" w:rsidRDefault="00DC3EA0" w:rsidP="00421A0D">
            <w:pPr>
              <w:rPr>
                <w:rFonts w:eastAsia="Calibri" w:cs="Times New Roman"/>
                <w:b/>
              </w:rPr>
            </w:pPr>
          </w:p>
          <w:p w14:paraId="27395092" w14:textId="77777777" w:rsidR="00DC3EA0" w:rsidRDefault="00DC3EA0" w:rsidP="00421A0D">
            <w:pPr>
              <w:rPr>
                <w:rFonts w:eastAsia="Calibri" w:cs="Times New Roman"/>
                <w:b/>
                <w:spacing w:val="60"/>
              </w:rPr>
            </w:pPr>
            <w:r>
              <w:rPr>
                <w:rFonts w:eastAsia="Calibri" w:cs="Times New Roman"/>
                <w:b/>
                <w:spacing w:val="60"/>
              </w:rPr>
              <w:t>Formen</w:t>
            </w:r>
          </w:p>
          <w:p w14:paraId="5CD4C94E" w14:textId="77777777" w:rsidR="00DC3EA0" w:rsidRDefault="00DC3EA0" w:rsidP="00421A0D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1) Das Relativpronomen</w:t>
            </w:r>
          </w:p>
          <w:p w14:paraId="6A3B8E20" w14:textId="77777777" w:rsidR="00DC3EA0" w:rsidRDefault="00DC3EA0" w:rsidP="00421A0D">
            <w:pPr>
              <w:rPr>
                <w:b/>
                <w:spacing w:val="60"/>
              </w:rPr>
            </w:pPr>
            <w:r>
              <w:rPr>
                <w:b/>
                <w:spacing w:val="60"/>
              </w:rPr>
              <w:t>Syntax</w:t>
            </w:r>
          </w:p>
          <w:p w14:paraId="09C844D5" w14:textId="77777777" w:rsidR="00DC3EA0" w:rsidRDefault="00DC3EA0" w:rsidP="00421A0D">
            <w:r>
              <w:t>1) Der Relativsatz als Attribut</w:t>
            </w:r>
          </w:p>
        </w:tc>
        <w:tc>
          <w:tcPr>
            <w:tcW w:w="27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0565BC" w14:textId="77777777" w:rsidR="00DC3EA0" w:rsidRDefault="00DC3EA0" w:rsidP="00421A0D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Sprachkompetenz</w:t>
            </w:r>
          </w:p>
        </w:tc>
        <w:tc>
          <w:tcPr>
            <w:tcW w:w="8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CCCA3" w14:textId="77777777" w:rsidR="00DC3EA0" w:rsidRDefault="00DC3EA0" w:rsidP="00421A0D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(18)</w:t>
            </w:r>
            <w:r>
              <w:rPr>
                <w:rFonts w:eastAsia="Calibri" w:cs="Times New Roman"/>
              </w:rPr>
              <w:t xml:space="preserve"> beherrschen die Formenlehre der Pronomina (siehe links). → S. 72, S. 159/F</w:t>
            </w:r>
          </w:p>
          <w:p w14:paraId="28E38646" w14:textId="77777777" w:rsidR="00DC3EA0" w:rsidRDefault="00DC3EA0" w:rsidP="00421A0D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(17)</w:t>
            </w:r>
            <w:r>
              <w:rPr>
                <w:rFonts w:eastAsia="Calibri" w:cs="Times New Roman"/>
              </w:rPr>
              <w:t xml:space="preserve"> kennen die Sinnrichtungen der Nebensätze (Relativsatz). → S. 72, S. 159-160/S+T</w:t>
            </w:r>
          </w:p>
        </w:tc>
      </w:tr>
      <w:tr w:rsidR="00DC3EA0" w14:paraId="6A4D8AF2" w14:textId="77777777" w:rsidTr="00421A0D">
        <w:trPr>
          <w:cantSplit/>
        </w:trPr>
        <w:tc>
          <w:tcPr>
            <w:tcW w:w="31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37117A" w14:textId="77777777" w:rsidR="00DC3EA0" w:rsidRDefault="00DC3EA0" w:rsidP="00421A0D">
            <w:pPr>
              <w:widowControl w:val="0"/>
            </w:pPr>
          </w:p>
        </w:tc>
        <w:tc>
          <w:tcPr>
            <w:tcW w:w="27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A65A2D" w14:textId="77777777" w:rsidR="00DC3EA0" w:rsidRDefault="00DC3EA0" w:rsidP="00421A0D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Textkompetenz</w:t>
            </w:r>
          </w:p>
        </w:tc>
        <w:tc>
          <w:tcPr>
            <w:tcW w:w="8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DE36B4" w14:textId="77777777" w:rsidR="00DC3EA0" w:rsidRDefault="00DC3EA0" w:rsidP="00421A0D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(13)</w:t>
            </w:r>
            <w:r>
              <w:rPr>
                <w:rFonts w:eastAsia="Calibri" w:cs="Times New Roman"/>
              </w:rPr>
              <w:t xml:space="preserve"> übertragen Dekodierungsverfahren, indem sie eine auf Textumfeld begründete Vermutung über den zu erwartenden Textinhalt anstellen (Einleitung). → S. 71/1</w:t>
            </w:r>
          </w:p>
          <w:p w14:paraId="01E586BD" w14:textId="77777777" w:rsidR="00DC3EA0" w:rsidRDefault="00DC3EA0" w:rsidP="00421A0D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(14)</w:t>
            </w:r>
            <w:r>
              <w:rPr>
                <w:rFonts w:eastAsia="Calibri" w:cs="Times New Roman"/>
              </w:rPr>
              <w:t xml:space="preserve"> übertragen Dekodierungsverfahren, indem sie eine auf vorherrschende Textmerkmale begründete Hypothesenbildung zum wahrscheinlichen Textinhalt anstellen (Schlüsselwörter). → S. 71/1</w:t>
            </w:r>
          </w:p>
          <w:p w14:paraId="5D6EB0FD" w14:textId="77777777" w:rsidR="00DC3EA0" w:rsidRDefault="00DC3EA0" w:rsidP="00421A0D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(14)</w:t>
            </w:r>
            <w:r>
              <w:rPr>
                <w:rFonts w:eastAsia="Calibri" w:cs="Times New Roman"/>
              </w:rPr>
              <w:t xml:space="preserve"> gewinnen einen Einblick in Interpretationsverfahren, indem sie den Aufbau des Textes begründend analysieren. → S. 71/2</w:t>
            </w:r>
          </w:p>
          <w:p w14:paraId="7A88B9D1" w14:textId="77777777" w:rsidR="00DC3EA0" w:rsidRDefault="00DC3EA0" w:rsidP="00421A0D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 xml:space="preserve">(15) </w:t>
            </w:r>
            <w:r>
              <w:rPr>
                <w:rFonts w:eastAsia="Calibri" w:cs="Times New Roman"/>
              </w:rPr>
              <w:t>gewinnen einen Einblick in Interpretationsverfahren, indem sie Textelemente inhaltlich und formal in den Textzusammenhang einordnen. → S. 71/3-5</w:t>
            </w:r>
          </w:p>
        </w:tc>
      </w:tr>
      <w:tr w:rsidR="00DC3EA0" w14:paraId="00416FF1" w14:textId="77777777" w:rsidTr="00421A0D">
        <w:trPr>
          <w:cantSplit/>
        </w:trPr>
        <w:tc>
          <w:tcPr>
            <w:tcW w:w="31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86837" w14:textId="77777777" w:rsidR="00DC3EA0" w:rsidRDefault="00DC3EA0" w:rsidP="00421A0D">
            <w:pPr>
              <w:widowControl w:val="0"/>
            </w:pPr>
          </w:p>
        </w:tc>
        <w:tc>
          <w:tcPr>
            <w:tcW w:w="27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22DAF2" w14:textId="77777777" w:rsidR="00DC3EA0" w:rsidRDefault="00DC3EA0" w:rsidP="00421A0D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Literatur- und Kulturkompetenz</w:t>
            </w:r>
          </w:p>
        </w:tc>
        <w:tc>
          <w:tcPr>
            <w:tcW w:w="8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36755D" w14:textId="77777777" w:rsidR="00DC3EA0" w:rsidRDefault="00DC3EA0" w:rsidP="00421A0D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 xml:space="preserve">(19) </w:t>
            </w:r>
            <w:r>
              <w:rPr>
                <w:rFonts w:eastAsia="Calibri" w:cs="Times New Roman"/>
              </w:rPr>
              <w:t>gewinnen einen Einblick in wesentliche Ereignisse der römischen Geschichte (Hannibal, Publius Cornelius Scipio Aemilianus).</w:t>
            </w:r>
          </w:p>
        </w:tc>
      </w:tr>
      <w:tr w:rsidR="00DC3EA0" w14:paraId="77B9F4E9" w14:textId="77777777" w:rsidTr="00421A0D">
        <w:trPr>
          <w:cantSplit/>
          <w:trHeight w:val="64"/>
        </w:trPr>
        <w:tc>
          <w:tcPr>
            <w:tcW w:w="31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02D77" w14:textId="77777777" w:rsidR="00DC3EA0" w:rsidRDefault="00DC3EA0" w:rsidP="00421A0D">
            <w:pPr>
              <w:widowControl w:val="0"/>
            </w:pPr>
          </w:p>
        </w:tc>
        <w:tc>
          <w:tcPr>
            <w:tcW w:w="27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8D21ED" w14:textId="77777777" w:rsidR="00DC3EA0" w:rsidRDefault="00DC3EA0" w:rsidP="00421A0D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Sprachlernkompetenz und Sprachbewusstheit / Sprachreflexion</w:t>
            </w:r>
          </w:p>
        </w:tc>
        <w:tc>
          <w:tcPr>
            <w:tcW w:w="8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B2DFB" w14:textId="77777777" w:rsidR="00DC3EA0" w:rsidRDefault="00DC3EA0" w:rsidP="00421A0D">
            <w:pPr>
              <w:numPr>
                <w:ilvl w:val="0"/>
                <w:numId w:val="5"/>
              </w:numPr>
              <w:suppressAutoHyphens/>
              <w:autoSpaceDN w:val="0"/>
              <w:jc w:val="both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(16)</w:t>
            </w:r>
            <w:r>
              <w:rPr>
                <w:rFonts w:eastAsia="Calibri" w:cs="Times New Roman"/>
              </w:rPr>
              <w:t xml:space="preserve"> beherrschen auf das Lernen bezogene Strategien (Recherchieren). → S. 7 0</w:t>
            </w:r>
          </w:p>
          <w:p w14:paraId="28FFC875" w14:textId="77777777" w:rsidR="00DC3EA0" w:rsidRDefault="00DC3EA0" w:rsidP="00421A0D">
            <w:pPr>
              <w:numPr>
                <w:ilvl w:val="0"/>
                <w:numId w:val="5"/>
              </w:numPr>
              <w:suppressAutoHyphens/>
              <w:autoSpaceDN w:val="0"/>
              <w:jc w:val="both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(17)</w:t>
            </w:r>
            <w:r>
              <w:rPr>
                <w:rFonts w:eastAsia="Calibri" w:cs="Times New Roman"/>
              </w:rPr>
              <w:t xml:space="preserve"> übertragen lateinische Lexikkenntnisse auf andere Sprachen. → S. 163/1, S. 160-161</w:t>
            </w:r>
          </w:p>
        </w:tc>
      </w:tr>
    </w:tbl>
    <w:p w14:paraId="33F588A1" w14:textId="77777777" w:rsidR="00DC3EA0" w:rsidRDefault="00DC3EA0" w:rsidP="00DC3EA0"/>
    <w:p w14:paraId="6D87573C" w14:textId="77777777" w:rsidR="00DC3EA0" w:rsidRDefault="00DC3EA0" w:rsidP="00DC3EA0">
      <w:pPr>
        <w:rPr>
          <w:sz w:val="18"/>
        </w:rPr>
      </w:pPr>
    </w:p>
    <w:p w14:paraId="7C2A9553" w14:textId="77777777" w:rsidR="00DC3EA0" w:rsidRDefault="00DC3EA0" w:rsidP="00DC3EA0">
      <w:pPr>
        <w:rPr>
          <w:sz w:val="18"/>
        </w:rPr>
      </w:pPr>
    </w:p>
    <w:p w14:paraId="08AF8D2A" w14:textId="77777777" w:rsidR="00DC3EA0" w:rsidRDefault="00DC3EA0" w:rsidP="00DC3EA0">
      <w:pPr>
        <w:rPr>
          <w:vanish/>
        </w:rPr>
      </w:pPr>
      <w:r>
        <w:br w:type="page"/>
      </w:r>
    </w:p>
    <w:tbl>
      <w:tblPr>
        <w:tblpPr w:leftFromText="141" w:rightFromText="141" w:tblpY="795"/>
        <w:tblW w:w="144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00"/>
        <w:gridCol w:w="2782"/>
        <w:gridCol w:w="8526"/>
      </w:tblGrid>
      <w:tr w:rsidR="00DC3EA0" w14:paraId="25744245" w14:textId="77777777" w:rsidTr="00421A0D">
        <w:trPr>
          <w:cantSplit/>
        </w:trPr>
        <w:tc>
          <w:tcPr>
            <w:tcW w:w="310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C7290C" w14:textId="77777777" w:rsidR="00DC3EA0" w:rsidRDefault="00DC3EA0" w:rsidP="00421A0D">
            <w:pPr>
              <w:keepNext/>
              <w:outlineLvl w:val="3"/>
              <w:rPr>
                <w:rFonts w:eastAsia="Calibri" w:cs="Times New Roman"/>
                <w:b/>
                <w:color w:val="C00000"/>
                <w:sz w:val="32"/>
              </w:rPr>
            </w:pPr>
            <w:r>
              <w:rPr>
                <w:rFonts w:eastAsia="Calibri" w:cs="Times New Roman"/>
                <w:b/>
                <w:color w:val="C00000"/>
                <w:sz w:val="32"/>
              </w:rPr>
              <w:t>Lektion 13</w:t>
            </w:r>
          </w:p>
          <w:p w14:paraId="607E9251" w14:textId="77777777" w:rsidR="00DC3EA0" w:rsidRDefault="00DC3EA0" w:rsidP="00421A0D">
            <w:pPr>
              <w:rPr>
                <w:rFonts w:eastAsia="Calibri" w:cs="Times New Roman"/>
                <w:color w:val="C00000"/>
              </w:rPr>
            </w:pPr>
            <w:r>
              <w:rPr>
                <w:rFonts w:eastAsia="Calibri" w:cs="Times New Roman"/>
                <w:color w:val="C00000"/>
              </w:rPr>
              <w:t>Kleopatra – bezaubernd oder berechnend?</w:t>
            </w:r>
          </w:p>
          <w:p w14:paraId="72C008E9" w14:textId="77777777" w:rsidR="00DC3EA0" w:rsidRDefault="00DC3EA0" w:rsidP="00421A0D">
            <w:pPr>
              <w:rPr>
                <w:rFonts w:eastAsia="Calibri" w:cs="Times New Roman"/>
                <w:b/>
              </w:rPr>
            </w:pPr>
          </w:p>
          <w:p w14:paraId="4C22CA88" w14:textId="77777777" w:rsidR="00DC3EA0" w:rsidRDefault="00DC3EA0" w:rsidP="00421A0D">
            <w:pPr>
              <w:rPr>
                <w:rFonts w:eastAsia="Calibri" w:cs="Times New Roman"/>
                <w:b/>
                <w:spacing w:val="60"/>
              </w:rPr>
            </w:pPr>
            <w:r>
              <w:rPr>
                <w:rFonts w:eastAsia="Calibri" w:cs="Times New Roman"/>
                <w:b/>
                <w:spacing w:val="60"/>
              </w:rPr>
              <w:t>Formen</w:t>
            </w:r>
          </w:p>
          <w:p w14:paraId="6DC08EDB" w14:textId="77777777" w:rsidR="00DC3EA0" w:rsidRDefault="00DC3EA0" w:rsidP="00421A0D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1) Die Adjektive der 3. Deklination</w:t>
            </w:r>
          </w:p>
          <w:p w14:paraId="0F356464" w14:textId="77777777" w:rsidR="00DC3EA0" w:rsidRDefault="00DC3EA0" w:rsidP="00421A0D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2) Das Pronomen is</w:t>
            </w:r>
          </w:p>
          <w:p w14:paraId="0E591B7C" w14:textId="77777777" w:rsidR="00DC3EA0" w:rsidRDefault="00DC3EA0" w:rsidP="00421A0D">
            <w:pPr>
              <w:rPr>
                <w:b/>
                <w:spacing w:val="60"/>
              </w:rPr>
            </w:pPr>
            <w:r>
              <w:rPr>
                <w:b/>
                <w:spacing w:val="60"/>
              </w:rPr>
              <w:t>Syntax</w:t>
            </w:r>
          </w:p>
          <w:p w14:paraId="0B801EA5" w14:textId="77777777" w:rsidR="00DC3EA0" w:rsidRDefault="00DC3EA0" w:rsidP="00421A0D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1) Das Pronomen is: Verwendung</w:t>
            </w:r>
          </w:p>
          <w:p w14:paraId="4D245511" w14:textId="77777777" w:rsidR="00DC3EA0" w:rsidRDefault="00DC3EA0" w:rsidP="00421A0D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2) Satzgefüge</w:t>
            </w:r>
          </w:p>
          <w:p w14:paraId="05E03EB4" w14:textId="77777777" w:rsidR="00DC3EA0" w:rsidRDefault="00DC3EA0" w:rsidP="00421A0D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3) Nebensätze als Adverbiale</w:t>
            </w:r>
          </w:p>
        </w:tc>
        <w:tc>
          <w:tcPr>
            <w:tcW w:w="27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2247C" w14:textId="77777777" w:rsidR="00DC3EA0" w:rsidRDefault="00DC3EA0" w:rsidP="00421A0D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Sprachkompetenz</w:t>
            </w:r>
          </w:p>
        </w:tc>
        <w:tc>
          <w:tcPr>
            <w:tcW w:w="8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CE5927" w14:textId="77777777" w:rsidR="00DC3EA0" w:rsidRDefault="00DC3EA0" w:rsidP="00421A0D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 xml:space="preserve">(18) </w:t>
            </w:r>
            <w:r>
              <w:rPr>
                <w:rFonts w:eastAsia="Calibri" w:cs="Times New Roman"/>
              </w:rPr>
              <w:t>beherrschen die Formenlehre der Pronomina (siehe links). → S. 80-81, S. 166-167/F2+S1</w:t>
            </w:r>
          </w:p>
          <w:p w14:paraId="753EF82B" w14:textId="77777777" w:rsidR="00DC3EA0" w:rsidRDefault="00DC3EA0" w:rsidP="00421A0D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(18)</w:t>
            </w:r>
            <w:r>
              <w:rPr>
                <w:rFonts w:eastAsia="Calibri" w:cs="Times New Roman"/>
              </w:rPr>
              <w:t xml:space="preserve"> kennen die Formenlehre des Adjektivs (siehe links). → S. 80/B+C, S. 165-166/F1</w:t>
            </w:r>
          </w:p>
          <w:p w14:paraId="0BC38302" w14:textId="77777777" w:rsidR="00DC3EA0" w:rsidRDefault="00DC3EA0" w:rsidP="00421A0D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(17)</w:t>
            </w:r>
            <w:r>
              <w:rPr>
                <w:rFonts w:eastAsia="Calibri" w:cs="Times New Roman"/>
              </w:rPr>
              <w:t xml:space="preserve"> kennen ein Satzmodell. → S. 167/S2</w:t>
            </w:r>
          </w:p>
          <w:p w14:paraId="6685A117" w14:textId="77777777" w:rsidR="00DC3EA0" w:rsidRDefault="00DC3EA0" w:rsidP="00421A0D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(17)</w:t>
            </w:r>
            <w:r>
              <w:rPr>
                <w:rFonts w:eastAsia="Calibri" w:cs="Times New Roman"/>
              </w:rPr>
              <w:t xml:space="preserve"> kennen die Sinnrichtungen der Nebensätze. → S. 80/D, S. 168/S3</w:t>
            </w:r>
          </w:p>
          <w:p w14:paraId="2F81E67E" w14:textId="77777777" w:rsidR="00DC3EA0" w:rsidRDefault="00DC3EA0" w:rsidP="00421A0D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 xml:space="preserve">(17) </w:t>
            </w:r>
            <w:r>
              <w:rPr>
                <w:rFonts w:eastAsia="Calibri" w:cs="Times New Roman"/>
              </w:rPr>
              <w:t>übertragen Kenntnisse über satzwertige Konstruktionen. → S. 81/G</w:t>
            </w:r>
          </w:p>
        </w:tc>
      </w:tr>
      <w:tr w:rsidR="00DC3EA0" w14:paraId="0D524F31" w14:textId="77777777" w:rsidTr="00421A0D">
        <w:trPr>
          <w:cantSplit/>
        </w:trPr>
        <w:tc>
          <w:tcPr>
            <w:tcW w:w="31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1F2A61" w14:textId="77777777" w:rsidR="00DC3EA0" w:rsidRDefault="00DC3EA0" w:rsidP="00421A0D">
            <w:pPr>
              <w:widowControl w:val="0"/>
            </w:pPr>
          </w:p>
        </w:tc>
        <w:tc>
          <w:tcPr>
            <w:tcW w:w="27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A9B8DB" w14:textId="77777777" w:rsidR="00DC3EA0" w:rsidRDefault="00DC3EA0" w:rsidP="00421A0D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Textkompetenz</w:t>
            </w:r>
          </w:p>
        </w:tc>
        <w:tc>
          <w:tcPr>
            <w:tcW w:w="8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259FDF" w14:textId="77777777" w:rsidR="00DC3EA0" w:rsidRDefault="00DC3EA0" w:rsidP="00421A0D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(13)</w:t>
            </w:r>
            <w:r>
              <w:rPr>
                <w:rFonts w:eastAsia="Calibri" w:cs="Times New Roman"/>
              </w:rPr>
              <w:t xml:space="preserve"> übertragen Dekodierungsverfahren, indem sie eine auf Textumfeld begründete Vermutung über den zu erwartenden Textinhalt anstellen (Überschrift). → S.79/1</w:t>
            </w:r>
          </w:p>
          <w:p w14:paraId="2E730096" w14:textId="77777777" w:rsidR="00DC3EA0" w:rsidRDefault="00DC3EA0" w:rsidP="00421A0D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(14)</w:t>
            </w:r>
            <w:r>
              <w:rPr>
                <w:rFonts w:eastAsia="Calibri" w:cs="Times New Roman"/>
              </w:rPr>
              <w:t xml:space="preserve"> übertragen Dekodierungsverfahren, indem sie ein begründetes Verständnis des Textinhalts formulieren. → S. 79/1</w:t>
            </w:r>
          </w:p>
          <w:p w14:paraId="0CEA346A" w14:textId="77777777" w:rsidR="00DC3EA0" w:rsidRDefault="00DC3EA0" w:rsidP="00421A0D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(15)</w:t>
            </w:r>
            <w:r>
              <w:rPr>
                <w:rFonts w:eastAsia="Calibri" w:cs="Times New Roman"/>
              </w:rPr>
              <w:t xml:space="preserve"> gewinnen einen Einblick in Interpretationsverfahren, indem sie die sprachliche Gestaltung des Textes analysieren (Sachfelder). → S. 79/2</w:t>
            </w:r>
          </w:p>
          <w:p w14:paraId="0FE989A6" w14:textId="77777777" w:rsidR="00DC3EA0" w:rsidRDefault="00DC3EA0" w:rsidP="00421A0D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(15)</w:t>
            </w:r>
            <w:r>
              <w:rPr>
                <w:rFonts w:eastAsia="Calibri" w:cs="Times New Roman"/>
              </w:rPr>
              <w:t xml:space="preserve"> gewinnen einen Einblick in Interpretationsverfahren, indem sie Textelemente inhaltlich und formal in den Textzusammenhang einordnen. → S. 79/3+4</w:t>
            </w:r>
          </w:p>
        </w:tc>
      </w:tr>
      <w:tr w:rsidR="00DC3EA0" w14:paraId="0EDB92C0" w14:textId="77777777" w:rsidTr="00421A0D">
        <w:trPr>
          <w:cantSplit/>
        </w:trPr>
        <w:tc>
          <w:tcPr>
            <w:tcW w:w="31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4D2E2" w14:textId="77777777" w:rsidR="00DC3EA0" w:rsidRDefault="00DC3EA0" w:rsidP="00421A0D">
            <w:pPr>
              <w:widowControl w:val="0"/>
            </w:pPr>
          </w:p>
        </w:tc>
        <w:tc>
          <w:tcPr>
            <w:tcW w:w="27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AF7E7" w14:textId="77777777" w:rsidR="00DC3EA0" w:rsidRDefault="00DC3EA0" w:rsidP="00421A0D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Literatur- und Kulturkompetenz</w:t>
            </w:r>
          </w:p>
        </w:tc>
        <w:tc>
          <w:tcPr>
            <w:tcW w:w="8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D51D8D" w14:textId="77777777" w:rsidR="00DC3EA0" w:rsidRDefault="00DC3EA0" w:rsidP="00421A0D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(19)</w:t>
            </w:r>
            <w:r>
              <w:rPr>
                <w:rFonts w:eastAsia="Calibri" w:cs="Times New Roman"/>
              </w:rPr>
              <w:t xml:space="preserve"> gewinnen einen Einblick in wesentliche Ereignisse der römischen Geschichte (Cäsar und Kleopatra).</w:t>
            </w:r>
          </w:p>
        </w:tc>
      </w:tr>
      <w:tr w:rsidR="00DC3EA0" w14:paraId="14BC317C" w14:textId="77777777" w:rsidTr="00421A0D">
        <w:trPr>
          <w:cantSplit/>
          <w:trHeight w:val="64"/>
        </w:trPr>
        <w:tc>
          <w:tcPr>
            <w:tcW w:w="31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99224" w14:textId="77777777" w:rsidR="00DC3EA0" w:rsidRDefault="00DC3EA0" w:rsidP="00421A0D">
            <w:pPr>
              <w:widowControl w:val="0"/>
            </w:pPr>
          </w:p>
        </w:tc>
        <w:tc>
          <w:tcPr>
            <w:tcW w:w="27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882001" w14:textId="77777777" w:rsidR="00DC3EA0" w:rsidRDefault="00DC3EA0" w:rsidP="00421A0D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Sprachlernkompetenz und Sprachbewusstheit / Sprachreflexion</w:t>
            </w:r>
          </w:p>
        </w:tc>
        <w:tc>
          <w:tcPr>
            <w:tcW w:w="8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0B7A8" w14:textId="77777777" w:rsidR="00DC3EA0" w:rsidRDefault="00DC3EA0" w:rsidP="00421A0D">
            <w:pPr>
              <w:numPr>
                <w:ilvl w:val="0"/>
                <w:numId w:val="5"/>
              </w:numPr>
              <w:suppressAutoHyphens/>
              <w:autoSpaceDN w:val="0"/>
              <w:jc w:val="both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(16)</w:t>
            </w:r>
            <w:r>
              <w:rPr>
                <w:rFonts w:eastAsia="Calibri" w:cs="Times New Roman"/>
              </w:rPr>
              <w:t xml:space="preserve"> beherrschen auf das Lernen bezogene Strategien (Recherchieren). → S. 78</w:t>
            </w:r>
          </w:p>
          <w:p w14:paraId="30D27416" w14:textId="77777777" w:rsidR="00DC3EA0" w:rsidRDefault="00DC3EA0" w:rsidP="00421A0D">
            <w:pPr>
              <w:numPr>
                <w:ilvl w:val="0"/>
                <w:numId w:val="5"/>
              </w:numPr>
              <w:suppressAutoHyphens/>
              <w:autoSpaceDN w:val="0"/>
              <w:jc w:val="both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 xml:space="preserve">(17) </w:t>
            </w:r>
            <w:r>
              <w:rPr>
                <w:rFonts w:eastAsia="Calibri" w:cs="Times New Roman"/>
              </w:rPr>
              <w:t>übertragen lateinische Lexikkenntnisse auf andere Sprachen. → S. 81/H, S. 169</w:t>
            </w:r>
          </w:p>
        </w:tc>
      </w:tr>
    </w:tbl>
    <w:p w14:paraId="12C30C16" w14:textId="77777777" w:rsidR="00DC3EA0" w:rsidRDefault="00DC3EA0" w:rsidP="00DC3EA0"/>
    <w:p w14:paraId="5FB357A5" w14:textId="77777777" w:rsidR="00DC3EA0" w:rsidRDefault="00DC3EA0" w:rsidP="00DC3EA0">
      <w:pPr>
        <w:rPr>
          <w:sz w:val="18"/>
        </w:rPr>
      </w:pPr>
    </w:p>
    <w:p w14:paraId="7E3642DC" w14:textId="77777777" w:rsidR="00DC3EA0" w:rsidRDefault="00DC3EA0" w:rsidP="00DC3EA0">
      <w:pPr>
        <w:rPr>
          <w:vanish/>
        </w:rPr>
      </w:pPr>
      <w:r>
        <w:br w:type="page"/>
      </w:r>
    </w:p>
    <w:tbl>
      <w:tblPr>
        <w:tblpPr w:leftFromText="141" w:rightFromText="141" w:vertAnchor="page" w:horzAnchor="margin" w:tblpY="1936"/>
        <w:tblW w:w="144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00"/>
        <w:gridCol w:w="2782"/>
        <w:gridCol w:w="8526"/>
      </w:tblGrid>
      <w:tr w:rsidR="00421A0D" w14:paraId="77CF9B5C" w14:textId="77777777" w:rsidTr="00421A0D">
        <w:trPr>
          <w:cantSplit/>
        </w:trPr>
        <w:tc>
          <w:tcPr>
            <w:tcW w:w="310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C00FA9" w14:textId="77777777" w:rsidR="00421A0D" w:rsidRDefault="00421A0D" w:rsidP="00421A0D">
            <w:pPr>
              <w:keepNext/>
              <w:outlineLvl w:val="3"/>
              <w:rPr>
                <w:rFonts w:eastAsia="Calibri" w:cs="Times New Roman"/>
                <w:b/>
                <w:color w:val="C00000"/>
                <w:sz w:val="32"/>
              </w:rPr>
            </w:pPr>
            <w:r>
              <w:rPr>
                <w:rFonts w:eastAsia="Calibri" w:cs="Times New Roman"/>
                <w:b/>
                <w:color w:val="C00000"/>
                <w:sz w:val="32"/>
              </w:rPr>
              <w:t>Lektion 14</w:t>
            </w:r>
          </w:p>
          <w:p w14:paraId="33257F7E" w14:textId="77777777" w:rsidR="00421A0D" w:rsidRDefault="00421A0D" w:rsidP="00421A0D">
            <w:pPr>
              <w:rPr>
                <w:rFonts w:eastAsia="Calibri" w:cs="Times New Roman"/>
                <w:color w:val="C00000"/>
              </w:rPr>
            </w:pPr>
            <w:r>
              <w:rPr>
                <w:rFonts w:eastAsia="Calibri" w:cs="Times New Roman"/>
                <w:color w:val="C00000"/>
              </w:rPr>
              <w:t>In der Hand der Piraten</w:t>
            </w:r>
          </w:p>
          <w:p w14:paraId="4098C7FC" w14:textId="77777777" w:rsidR="00421A0D" w:rsidRDefault="00421A0D" w:rsidP="00421A0D">
            <w:pPr>
              <w:rPr>
                <w:rFonts w:eastAsia="Calibri" w:cs="Times New Roman"/>
                <w:b/>
              </w:rPr>
            </w:pPr>
          </w:p>
          <w:p w14:paraId="403CE5C4" w14:textId="77777777" w:rsidR="00421A0D" w:rsidRDefault="00421A0D" w:rsidP="00421A0D">
            <w:pPr>
              <w:rPr>
                <w:rFonts w:eastAsia="Calibri" w:cs="Times New Roman"/>
                <w:b/>
                <w:spacing w:val="60"/>
              </w:rPr>
            </w:pPr>
            <w:r>
              <w:rPr>
                <w:rFonts w:eastAsia="Calibri" w:cs="Times New Roman"/>
                <w:b/>
                <w:spacing w:val="60"/>
              </w:rPr>
              <w:t>Formen</w:t>
            </w:r>
          </w:p>
          <w:p w14:paraId="7B475429" w14:textId="77777777" w:rsidR="00421A0D" w:rsidRDefault="00421A0D" w:rsidP="00421A0D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1) Verben: Das Imperfekt</w:t>
            </w:r>
          </w:p>
          <w:p w14:paraId="7A749F6E" w14:textId="77777777" w:rsidR="00421A0D" w:rsidRDefault="00421A0D" w:rsidP="00421A0D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2) Verben: ire</w:t>
            </w:r>
          </w:p>
          <w:p w14:paraId="67152696" w14:textId="77777777" w:rsidR="00421A0D" w:rsidRDefault="00421A0D" w:rsidP="00421A0D">
            <w:pPr>
              <w:rPr>
                <w:b/>
                <w:spacing w:val="60"/>
              </w:rPr>
            </w:pPr>
            <w:r>
              <w:rPr>
                <w:b/>
                <w:spacing w:val="60"/>
              </w:rPr>
              <w:t>Syntax</w:t>
            </w:r>
          </w:p>
          <w:p w14:paraId="31762A6D" w14:textId="77777777" w:rsidR="00421A0D" w:rsidRDefault="00421A0D" w:rsidP="00421A0D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1) Die Verwendung des Imperfekts</w:t>
            </w:r>
          </w:p>
          <w:p w14:paraId="1D465A96" w14:textId="77777777" w:rsidR="00421A0D" w:rsidRDefault="00421A0D" w:rsidP="00421A0D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2) Die Pronomina im AcI</w:t>
            </w:r>
          </w:p>
        </w:tc>
        <w:tc>
          <w:tcPr>
            <w:tcW w:w="27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0DEECE" w14:textId="77777777" w:rsidR="00421A0D" w:rsidRDefault="00421A0D" w:rsidP="00421A0D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Sprachkompetenz</w:t>
            </w:r>
          </w:p>
        </w:tc>
        <w:tc>
          <w:tcPr>
            <w:tcW w:w="8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8F2529" w14:textId="77777777" w:rsidR="00421A0D" w:rsidRDefault="00421A0D" w:rsidP="00421A0D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(18)</w:t>
            </w:r>
            <w:r>
              <w:rPr>
                <w:rFonts w:eastAsia="Calibri" w:cs="Times New Roman"/>
              </w:rPr>
              <w:t xml:space="preserve"> beherrschen die Formenlehre des Verbs (siehe links). → S. 84-85, S. 173-174/F1+F2</w:t>
            </w:r>
          </w:p>
          <w:p w14:paraId="429164F2" w14:textId="77777777" w:rsidR="00421A0D" w:rsidRDefault="00421A0D" w:rsidP="00421A0D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(17)</w:t>
            </w:r>
            <w:r>
              <w:rPr>
                <w:rFonts w:eastAsia="Calibri" w:cs="Times New Roman"/>
              </w:rPr>
              <w:t xml:space="preserve"> übertragen Kenntnisse über die Hauptfunktionen der Tempora im unabhängigen Satz (die Verwendung des Imperfekts). → S. 83/1, S. 174/S1, S. 175/M1</w:t>
            </w:r>
          </w:p>
          <w:p w14:paraId="5EDA6397" w14:textId="77777777" w:rsidR="00421A0D" w:rsidRDefault="00421A0D" w:rsidP="00421A0D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 xml:space="preserve">(18) </w:t>
            </w:r>
            <w:r>
              <w:rPr>
                <w:rFonts w:eastAsia="Calibri" w:cs="Times New Roman"/>
              </w:rPr>
              <w:t>beherrschen die Formenlehre der Pronomina (siehe links). → S. 85/F, S.175/S2</w:t>
            </w:r>
          </w:p>
          <w:p w14:paraId="7B2B8339" w14:textId="77777777" w:rsidR="00421A0D" w:rsidRDefault="00421A0D" w:rsidP="00421A0D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(17)</w:t>
            </w:r>
            <w:r>
              <w:rPr>
                <w:rFonts w:eastAsia="Calibri" w:cs="Times New Roman"/>
              </w:rPr>
              <w:t xml:space="preserve"> beherrschen die Wortarten. → S. 84/D, S.85/H</w:t>
            </w:r>
          </w:p>
          <w:p w14:paraId="4F562D13" w14:textId="77777777" w:rsidR="00421A0D" w:rsidRDefault="00421A0D" w:rsidP="00421A0D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(17)</w:t>
            </w:r>
            <w:r>
              <w:rPr>
                <w:rFonts w:eastAsia="Calibri" w:cs="Times New Roman"/>
              </w:rPr>
              <w:t xml:space="preserve"> beherrschen Grundmuster der Wortbildungslehre. → S. 177, S. 85/H</w:t>
            </w:r>
          </w:p>
          <w:p w14:paraId="380C060C" w14:textId="77777777" w:rsidR="00421A0D" w:rsidRDefault="00421A0D" w:rsidP="00421A0D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 xml:space="preserve">(17) </w:t>
            </w:r>
            <w:r>
              <w:rPr>
                <w:rFonts w:eastAsia="Calibri" w:cs="Times New Roman"/>
              </w:rPr>
              <w:t>übertragen Kenntnisse über satzwertige Konstruktionen. → S. 175/S2</w:t>
            </w:r>
          </w:p>
          <w:p w14:paraId="4050D386" w14:textId="77777777" w:rsidR="00421A0D" w:rsidRDefault="00421A0D" w:rsidP="00421A0D">
            <w:pPr>
              <w:numPr>
                <w:ilvl w:val="0"/>
                <w:numId w:val="4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 xml:space="preserve">(18) </w:t>
            </w:r>
            <w:r>
              <w:rPr>
                <w:rFonts w:eastAsia="Calibri" w:cs="Times New Roman"/>
              </w:rPr>
              <w:t>gewinnen einen Einblick in Kohärenz stiftende Elemente von Texten (Konnektoren). → S. 175/T</w:t>
            </w:r>
          </w:p>
        </w:tc>
      </w:tr>
      <w:tr w:rsidR="00421A0D" w14:paraId="1D2BD9BB" w14:textId="77777777" w:rsidTr="00421A0D">
        <w:trPr>
          <w:cantSplit/>
        </w:trPr>
        <w:tc>
          <w:tcPr>
            <w:tcW w:w="31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8816E6" w14:textId="77777777" w:rsidR="00421A0D" w:rsidRDefault="00421A0D" w:rsidP="00421A0D">
            <w:pPr>
              <w:widowControl w:val="0"/>
            </w:pPr>
          </w:p>
        </w:tc>
        <w:tc>
          <w:tcPr>
            <w:tcW w:w="27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E366C5" w14:textId="77777777" w:rsidR="00421A0D" w:rsidRDefault="00421A0D" w:rsidP="00421A0D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Textkompetenz</w:t>
            </w:r>
          </w:p>
        </w:tc>
        <w:tc>
          <w:tcPr>
            <w:tcW w:w="8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A7F16" w14:textId="77777777" w:rsidR="00421A0D" w:rsidRDefault="00421A0D" w:rsidP="00421A0D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(14)</w:t>
            </w:r>
            <w:r>
              <w:rPr>
                <w:rFonts w:eastAsia="Calibri" w:cs="Times New Roman"/>
              </w:rPr>
              <w:t xml:space="preserve"> übertragen Dekodierungsverfahren, indem sie eine auf vorherrschende Textmerkmale begründete Hypothesenbildung zum Textinhalt anstellen (Tempusrelief). → S. 83/1</w:t>
            </w:r>
          </w:p>
          <w:p w14:paraId="661A61EE" w14:textId="77777777" w:rsidR="00421A0D" w:rsidRDefault="00421A0D" w:rsidP="00421A0D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(15)</w:t>
            </w:r>
            <w:r>
              <w:rPr>
                <w:rFonts w:eastAsia="Calibri" w:cs="Times New Roman"/>
              </w:rPr>
              <w:t xml:space="preserve"> gewinnen einen Einblick in Interpretationsverfahren, indem sie das in den Feststellungsakten Ermittelte deuten und vertieft umsetzen. → S. 83/3</w:t>
            </w:r>
          </w:p>
        </w:tc>
      </w:tr>
      <w:tr w:rsidR="00421A0D" w14:paraId="04C55BDC" w14:textId="77777777" w:rsidTr="00421A0D">
        <w:trPr>
          <w:cantSplit/>
        </w:trPr>
        <w:tc>
          <w:tcPr>
            <w:tcW w:w="31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4C8E7C" w14:textId="77777777" w:rsidR="00421A0D" w:rsidRDefault="00421A0D" w:rsidP="00421A0D">
            <w:pPr>
              <w:widowControl w:val="0"/>
            </w:pPr>
          </w:p>
        </w:tc>
        <w:tc>
          <w:tcPr>
            <w:tcW w:w="27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303B0" w14:textId="77777777" w:rsidR="00421A0D" w:rsidRDefault="00421A0D" w:rsidP="00421A0D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Literatur- und Kulturkompetenz</w:t>
            </w:r>
          </w:p>
        </w:tc>
        <w:tc>
          <w:tcPr>
            <w:tcW w:w="8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B14C35" w14:textId="77777777" w:rsidR="00421A0D" w:rsidRDefault="00421A0D" w:rsidP="00421A0D">
            <w:pPr>
              <w:numPr>
                <w:ilvl w:val="0"/>
                <w:numId w:val="5"/>
              </w:numPr>
              <w:suppressAutoHyphens/>
              <w:autoSpaceDN w:val="0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(19)</w:t>
            </w:r>
            <w:r>
              <w:rPr>
                <w:rFonts w:eastAsia="Calibri" w:cs="Times New Roman"/>
              </w:rPr>
              <w:t xml:space="preserve"> gewinnen einen Einblick in wesentliche Ereignisse der römischen Geschichte (Pompeius gegen die Piratenplage).</w:t>
            </w:r>
          </w:p>
        </w:tc>
      </w:tr>
      <w:tr w:rsidR="00421A0D" w14:paraId="182D026C" w14:textId="77777777" w:rsidTr="00421A0D">
        <w:trPr>
          <w:cantSplit/>
          <w:trHeight w:val="64"/>
        </w:trPr>
        <w:tc>
          <w:tcPr>
            <w:tcW w:w="31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1A8CB" w14:textId="77777777" w:rsidR="00421A0D" w:rsidRDefault="00421A0D" w:rsidP="00421A0D">
            <w:pPr>
              <w:widowControl w:val="0"/>
            </w:pPr>
          </w:p>
        </w:tc>
        <w:tc>
          <w:tcPr>
            <w:tcW w:w="27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952B1F" w14:textId="77777777" w:rsidR="00421A0D" w:rsidRDefault="00421A0D" w:rsidP="00421A0D">
            <w:pPr>
              <w:rPr>
                <w:rFonts w:eastAsia="Calibri" w:cs="Times New Roman"/>
                <w:b/>
                <w:color w:val="0000FF"/>
              </w:rPr>
            </w:pPr>
            <w:r>
              <w:rPr>
                <w:rFonts w:eastAsia="Calibri" w:cs="Times New Roman"/>
                <w:b/>
                <w:color w:val="0000FF"/>
              </w:rPr>
              <w:t>Sprachlernkompetenz und Sprachbewusstheit / Sprachreflexion</w:t>
            </w:r>
          </w:p>
        </w:tc>
        <w:tc>
          <w:tcPr>
            <w:tcW w:w="8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400A7" w14:textId="77777777" w:rsidR="00421A0D" w:rsidRDefault="00421A0D" w:rsidP="00421A0D">
            <w:pPr>
              <w:numPr>
                <w:ilvl w:val="0"/>
                <w:numId w:val="5"/>
              </w:numPr>
              <w:suppressAutoHyphens/>
              <w:autoSpaceDN w:val="0"/>
              <w:jc w:val="both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 xml:space="preserve">(16) </w:t>
            </w:r>
            <w:r>
              <w:rPr>
                <w:rFonts w:eastAsia="Calibri" w:cs="Times New Roman"/>
              </w:rPr>
              <w:t>beherrschen auf das Lernen bezogene Strategien (Recherchieren). → S. 82/1, S. 83/3</w:t>
            </w:r>
          </w:p>
          <w:p w14:paraId="3EB9EFF1" w14:textId="77777777" w:rsidR="00421A0D" w:rsidRDefault="00421A0D" w:rsidP="00421A0D">
            <w:pPr>
              <w:numPr>
                <w:ilvl w:val="0"/>
                <w:numId w:val="5"/>
              </w:numPr>
              <w:suppressAutoHyphens/>
              <w:autoSpaceDN w:val="0"/>
              <w:jc w:val="both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 xml:space="preserve">(16) </w:t>
            </w:r>
            <w:r>
              <w:rPr>
                <w:rFonts w:eastAsia="Calibri" w:cs="Times New Roman"/>
              </w:rPr>
              <w:t>beherrschen auf das Lernen bezogene Strategien (Organisieren des Lernprozesses – vergessene Vokabeln sichern). → S. 176/M2</w:t>
            </w:r>
          </w:p>
          <w:p w14:paraId="7E36D241" w14:textId="77777777" w:rsidR="00421A0D" w:rsidRDefault="00421A0D" w:rsidP="00421A0D">
            <w:pPr>
              <w:numPr>
                <w:ilvl w:val="0"/>
                <w:numId w:val="5"/>
              </w:numPr>
              <w:suppressAutoHyphens/>
              <w:autoSpaceDN w:val="0"/>
              <w:jc w:val="both"/>
              <w:textAlignment w:val="baseline"/>
              <w:rPr>
                <w:rFonts w:eastAsia="Calibri" w:cs="Times New Roman"/>
              </w:rPr>
            </w:pPr>
            <w:r>
              <w:rPr>
                <w:rFonts w:eastAsia="Calibri" w:cs="Times New Roman"/>
                <w:color w:val="0000FF"/>
              </w:rPr>
              <w:t>(17)</w:t>
            </w:r>
            <w:r>
              <w:rPr>
                <w:rFonts w:eastAsia="Calibri" w:cs="Times New Roman"/>
              </w:rPr>
              <w:t xml:space="preserve"> übertragen lateinische Lexikkenntnisse auf andere Sprachen. → S. 177</w:t>
            </w:r>
          </w:p>
        </w:tc>
      </w:tr>
    </w:tbl>
    <w:p w14:paraId="3DEDC8B7" w14:textId="44260E83" w:rsidR="009E2664" w:rsidRDefault="009E2664">
      <w:pPr>
        <w:rPr>
          <w:vertAlign w:val="subscript"/>
        </w:rPr>
      </w:pPr>
    </w:p>
    <w:p w14:paraId="6639F9A2" w14:textId="77777777" w:rsidR="009E2664" w:rsidRDefault="009E2664" w:rsidP="005629D7">
      <w:pPr>
        <w:rPr>
          <w:vertAlign w:val="subscript"/>
        </w:rPr>
      </w:pPr>
    </w:p>
    <w:p w14:paraId="7DCECA1C" w14:textId="77777777" w:rsidR="00421A0D" w:rsidRDefault="00421A0D">
      <w:pPr>
        <w:rPr>
          <w:vertAlign w:val="subscript"/>
        </w:rPr>
      </w:pPr>
    </w:p>
    <w:p w14:paraId="592A9DEE" w14:textId="4376ECA2" w:rsidR="009E2664" w:rsidRDefault="009E2664">
      <w:pPr>
        <w:rPr>
          <w:vertAlign w:val="subscript"/>
        </w:rPr>
      </w:pPr>
    </w:p>
    <w:sectPr w:rsidR="009E2664" w:rsidSect="002C0B7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6840" w:h="11900" w:orient="landscape"/>
      <w:pgMar w:top="1417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BEC1F3" w14:textId="77777777" w:rsidR="00285BF5" w:rsidRDefault="00285BF5" w:rsidP="000C64AA">
      <w:r>
        <w:separator/>
      </w:r>
    </w:p>
  </w:endnote>
  <w:endnote w:type="continuationSeparator" w:id="0">
    <w:p w14:paraId="61039A0A" w14:textId="77777777" w:rsidR="00285BF5" w:rsidRDefault="00285BF5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11189" w14:textId="77777777" w:rsidR="00F51C94" w:rsidRDefault="00F51C94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F51C94" w:rsidRDefault="00F51C94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FC9D6" w14:textId="77777777" w:rsidR="00F51C94" w:rsidRDefault="00F51C94" w:rsidP="002C0B7F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73301AC8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5997C18C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69C73" w14:textId="77777777" w:rsidR="00F51C94" w:rsidRPr="00394C7F" w:rsidRDefault="00F51C94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17805548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lV99AEAAMoDAAAOAAAAZHJzL2Uyb0RvYy54bWysU9tu2zAMfR+wfxD0vjhOsjY14hRdiw4D&#10;ugvQ7gMYWY6F2aJGKbGzrx8lp1m6vg17EcSLDg8PqdX10LVir8kbtKXMJ1MptFVYGbst5fen+3dL&#10;KXwAW0GLVpfyoL28Xr99s+pdoWfYYFtpEgxifdG7UjYhuCLLvGp0B36CTlsO1kgdBDZpm1UEPaN3&#10;bTabTi+yHqlyhEp7z967MSjXCb+utQpf69rrINpSMreQTkrnJp7ZegXFlsA1Rh1pwD+w6MBYLnqC&#10;uoMAYkfmFVRnFKHHOkwUdhnWtVE69cDd5NO/unlswOnUC4vj3Ukm//9g1Zf9NxKm4tldXklhoeMh&#10;PekhiA84iHyxiAr1zhec+Og4NQwc4OzUrXcPqH54YfG2AbvVN0TYNxoqZpjHl9nZ0xHHR5BN/xkr&#10;LgS7gAloqKmL8rEggtF5UofTdCIZxc5Zns9nSw4pjl1Ml/N5Gl8GxfNrRz581NiJeCkl8fQTOuwf&#10;fIhsoHhOicUs3pu2TRvQ2hcOToyexD4SHqmHYTMc1dhgdeA+CMeF4g/AlwbplxQ9L1Mp/c8dkJai&#10;/WRZiysWMm5fMhbvL2ds0Hlkcx4BqxiqlEGK8Xobxo3dOTLbhiuN6lu8Yf1qk1qLQo+sjrx5YVLH&#10;x+WOG3lup6w/X3D9GwAA//8DAFBLAwQUAAYACAAAACEA9beAY98AAAAMAQAADwAAAGRycy9kb3du&#10;cmV2LnhtbEyPzU7DMBCE70h9B2srcaN2Uhq1IU5VFXEFUX4kbm68TSLidRS7TXh7tie4zWhHs98U&#10;28l14oJDaD1pSBYKBFLlbUu1hve3p7s1iBANWdN5Qg0/GGBbzm4Kk1s/0iteDrEWXEIhNxqaGPtc&#10;ylA16ExY+B6Jbyc/OBPZDrW0gxm53HUyVSqTzrTEHxrT477B6vtwdho+nk9fn/fqpX50q370k5Lk&#10;NlLr2/m0ewARcYp/YbjiMzqUzHT0Z7JBdOyXyYbZI6t0CeKayFZpBuLISq0TkGUh/48ofwEAAP//&#10;AwBQSwECLQAUAAYACAAAACEAtoM4kv4AAADhAQAAEwAAAAAAAAAAAAAAAAAAAAAAW0NvbnRlbnRf&#10;VHlwZXNdLnhtbFBLAQItABQABgAIAAAAIQA4/SH/1gAAAJQBAAALAAAAAAAAAAAAAAAAAC8BAABf&#10;cmVscy8ucmVsc1BLAQItABQABgAIAAAAIQDjwlV99AEAAMoDAAAOAAAAAAAAAAAAAAAAAC4CAABk&#10;cnMvZTJvRG9jLnhtbFBLAQItABQABgAIAAAAIQD1t4Bj3wAAAAwBAAAPAAAAAAAAAAAAAAAAAE4E&#10;AABkcnMvZG93bnJldi54bWxQSwUGAAAAAAQABADzAAAAWgUAAAAA&#10;" filled="f" stroked="f">
              <v:textbox>
                <w:txbxContent>
                  <w:p w14:paraId="1C369C73" w14:textId="77777777" w:rsidR="00F51C94" w:rsidRPr="00394C7F" w:rsidRDefault="00F51C94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3AEB6164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075C6A06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304163D" wp14:editId="7ED604FD">
              <wp:simplePos x="0" y="0"/>
              <wp:positionH relativeFrom="column">
                <wp:posOffset>-64770</wp:posOffset>
              </wp:positionH>
              <wp:positionV relativeFrom="paragraph">
                <wp:posOffset>72390</wp:posOffset>
              </wp:positionV>
              <wp:extent cx="3788410" cy="311150"/>
              <wp:effectExtent l="0" t="0" r="0" b="0"/>
              <wp:wrapNone/>
              <wp:docPr id="181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8410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F75E48" w14:textId="77777777" w:rsidR="00C739BE" w:rsidRPr="00394C7F" w:rsidRDefault="00C739BE" w:rsidP="00C739BE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prima. Band 1. Synopse Sachsen 2020.</w:t>
                          </w:r>
                        </w:p>
                        <w:p w14:paraId="4346153C" w14:textId="7F4C1092" w:rsidR="00F51C94" w:rsidRPr="00394C7F" w:rsidRDefault="00F51C94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7304163D" id="_x0000_s1032" type="#_x0000_t202" style="position:absolute;margin-left:-5.1pt;margin-top:5.7pt;width:298.3pt;height:2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1af9wEAANEDAAAOAAAAZHJzL2Uyb0RvYy54bWysU9tu2zAMfR+wfxD0vjhO0zY14hRdiw4D&#10;ugvQ7gMYWY6F2aJGKbGzrx8lJ1m6vQ17EcSLDg8PqeXt0LVip8kbtKXMJ1MptFVYGbsp5beXx3cL&#10;KXwAW0GLVpdyr728Xb19s+xdoWfYYFtpEgxifdG7UjYhuCLLvGp0B36CTlsO1kgdBDZpk1UEPaN3&#10;bTabTq+yHqlyhEp7z96HMShXCb+utQpf6trrINpSMreQTkrnOp7ZagnFhsA1Rh1owD+w6MBYLnqC&#10;eoAAYkvmL6jOKEKPdZgo7DKsa6N06oG7yad/dPPcgNOpFxbHu5NM/v/Bqs+7ryRMxbNb5FJY6HhI&#10;L3oI4j0OIp9fRYV65wtOfHacGgYOcHbq1rsnVN+9sHjfgN3oOyLsGw0VM8zjy+zs6YjjI8i6/4QV&#10;F4JtwAQ01NRF+VgQweg8qf1pOpGMYufF9WIxzzmkOHaR5/llGl8GxfG1Ix8+aOxEvJSSePoJHXZP&#10;PkQ2UBxTYjGLj6Zt0wa09pWDE6MnsY+ER+phWA+jVEdR1ljtuR3Cca/4H/ClQfopRc87VUr/Ywuk&#10;pWg/WpbkJp/P4xImY355PWODziPr8whYxVClDFKM1/swLu7Wkdk0XGkcgsU7lrE2qcOo98jqQJ/3&#10;JjV+2PG4mOd2yvr9E1e/AAAA//8DAFBLAwQUAAYACAAAACEAznJ0Bd0AAAAJAQAADwAAAGRycy9k&#10;b3ducmV2LnhtbEyPwU7DMAyG70i8Q2QkblvSqau20nSahriCGGzSblnjtRWNUzXZWt4ec4Kbrf/T&#10;78/FZnKduOEQWk8akrkCgVR521Kt4fPjZbYCEaIhazpPqOEbA2zK+7vC5NaP9I63fawFl1DIjYYm&#10;xj6XMlQNOhPmvkfi7OIHZyKvQy3tYEYud51cKJVJZ1riC43pcddg9bW/Og2H18vpmKq3+tkt+9FP&#10;SpJbS60fH6btE4iIU/yD4Vef1aFkp7O/kg2i0zBL1IJRDpIUBAPLVcbDWUOmUpBlIf9/UP4AAAD/&#10;/wMAUEsBAi0AFAAGAAgAAAAhALaDOJL+AAAA4QEAABMAAAAAAAAAAAAAAAAAAAAAAFtDb250ZW50&#10;X1R5cGVzXS54bWxQSwECLQAUAAYACAAAACEAOP0h/9YAAACUAQAACwAAAAAAAAAAAAAAAAAvAQAA&#10;X3JlbHMvLnJlbHNQSwECLQAUAAYACAAAACEA6cdWn/cBAADRAwAADgAAAAAAAAAAAAAAAAAuAgAA&#10;ZHJzL2Uyb0RvYy54bWxQSwECLQAUAAYACAAAACEAznJ0Bd0AAAAJAQAADwAAAAAAAAAAAAAAAABR&#10;BAAAZHJzL2Rvd25yZXYueG1sUEsFBgAAAAAEAAQA8wAAAFsFAAAAAA==&#10;" filled="f" stroked="f">
              <v:textbox>
                <w:txbxContent>
                  <w:p w14:paraId="3EF75E48" w14:textId="77777777" w:rsidR="00C739BE" w:rsidRPr="00394C7F" w:rsidRDefault="00C739BE" w:rsidP="00C739BE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/>
                        <w:sz w:val="22"/>
                        <w:szCs w:val="22"/>
                      </w:rPr>
                      <w:t>prima. Band 1. Synopse Sachsen 2020.</w:t>
                    </w:r>
                  </w:p>
                  <w:p w14:paraId="4346153C" w14:textId="7F4C1092" w:rsidR="00F51C94" w:rsidRPr="00394C7F" w:rsidRDefault="00F51C94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9919B3" w14:textId="77777777" w:rsidR="00285BF5" w:rsidRDefault="00285BF5" w:rsidP="000C64AA">
      <w:r>
        <w:separator/>
      </w:r>
    </w:p>
  </w:footnote>
  <w:footnote w:type="continuationSeparator" w:id="0">
    <w:p w14:paraId="79F8B8D7" w14:textId="77777777" w:rsidR="00285BF5" w:rsidRDefault="00285BF5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9A434" w14:textId="77777777" w:rsidR="00F51C94" w:rsidRDefault="00F51C94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F51C94" w:rsidRDefault="00F51C94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BD66B" w14:textId="22CED121" w:rsidR="00F51C94" w:rsidRDefault="00F51C94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4E00C8">
      <w:rPr>
        <w:rStyle w:val="Seitenzahl"/>
        <w:noProof/>
      </w:rPr>
      <w:t>2</w:t>
    </w:r>
    <w:r>
      <w:rPr>
        <w:rStyle w:val="Seitenzahl"/>
      </w:rPr>
      <w:fldChar w:fldCharType="end"/>
    </w:r>
  </w:p>
  <w:p w14:paraId="03ED67FE" w14:textId="3328B5A8" w:rsidR="00F51C94" w:rsidRDefault="00B23521" w:rsidP="002C0B7F">
    <w:pPr>
      <w:pStyle w:val="Kopfzeile"/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139F9D7C">
          <wp:simplePos x="0" y="0"/>
          <wp:positionH relativeFrom="page">
            <wp:posOffset>-7620</wp:posOffset>
          </wp:positionH>
          <wp:positionV relativeFrom="page">
            <wp:posOffset>-51672</wp:posOffset>
          </wp:positionV>
          <wp:extent cx="10693400" cy="927100"/>
          <wp:effectExtent l="0" t="0" r="0" b="1270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BE90F" w14:textId="6BB1D77E" w:rsidR="00B23521" w:rsidRPr="00B23521" w:rsidRDefault="00B23521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070CEA"/>
    <w:multiLevelType w:val="multilevel"/>
    <w:tmpl w:val="549AE786"/>
    <w:styleLink w:val="WWNum10"/>
    <w:lvl w:ilvl="0">
      <w:numFmt w:val="bullet"/>
      <w:lvlText w:val=""/>
      <w:lvlJc w:val="left"/>
      <w:pPr>
        <w:ind w:left="360" w:hanging="360"/>
      </w:pPr>
      <w:rPr>
        <w:rFonts w:ascii="Symbol" w:hAnsi="Symbol"/>
        <w:color w:val="999999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/>
        <w:b w:val="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Times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Times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493C44E7"/>
    <w:multiLevelType w:val="multilevel"/>
    <w:tmpl w:val="3F040F9A"/>
    <w:styleLink w:val="WWNum38"/>
    <w:lvl w:ilvl="0">
      <w:numFmt w:val="bullet"/>
      <w:lvlText w:val=""/>
      <w:lvlJc w:val="left"/>
      <w:pPr>
        <w:ind w:left="360" w:hanging="360"/>
      </w:pPr>
      <w:rPr>
        <w:rFonts w:ascii="Symbol" w:hAnsi="Symbol"/>
        <w:color w:val="999999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" w15:restartNumberingAfterBreak="0">
    <w:nsid w:val="4B0542AC"/>
    <w:multiLevelType w:val="multilevel"/>
    <w:tmpl w:val="1206EEC0"/>
    <w:styleLink w:val="WWNum8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57DE26C2"/>
    <w:multiLevelType w:val="multilevel"/>
    <w:tmpl w:val="548CDBF8"/>
    <w:styleLink w:val="WWNum11"/>
    <w:lvl w:ilvl="0">
      <w:numFmt w:val="bullet"/>
      <w:lvlText w:val=""/>
      <w:lvlJc w:val="left"/>
      <w:pPr>
        <w:ind w:left="360" w:hanging="360"/>
      </w:pPr>
      <w:rPr>
        <w:rFonts w:ascii="Symbol" w:hAnsi="Symbol"/>
        <w:color w:val="999999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/>
      </w:rPr>
    </w:lvl>
    <w:lvl w:ilvl="2">
      <w:numFmt w:val="bullet"/>
      <w:lvlText w:val=""/>
      <w:lvlJc w:val="left"/>
      <w:pPr>
        <w:ind w:left="2160" w:hanging="360"/>
      </w:pPr>
      <w:rPr>
        <w:rFonts w:ascii="Wingdings" w:eastAsia="Calibri" w:hAnsi="Wingdings" w:cs="Times New Roman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Times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Times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5C183C4F"/>
    <w:multiLevelType w:val="multilevel"/>
    <w:tmpl w:val="C84812CC"/>
    <w:styleLink w:val="WWNum7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6210403C"/>
    <w:multiLevelType w:val="multilevel"/>
    <w:tmpl w:val="1F60FC72"/>
    <w:styleLink w:val="WWNum39"/>
    <w:lvl w:ilvl="0">
      <w:numFmt w:val="bullet"/>
      <w:lvlText w:val=""/>
      <w:lvlJc w:val="left"/>
      <w:pPr>
        <w:ind w:left="360" w:hanging="360"/>
      </w:pPr>
      <w:rPr>
        <w:rFonts w:ascii="Symbol" w:hAnsi="Symbol"/>
        <w:color w:val="999999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6" w15:restartNumberingAfterBreak="0">
    <w:nsid w:val="66C4322C"/>
    <w:multiLevelType w:val="multilevel"/>
    <w:tmpl w:val="13FE4EB0"/>
    <w:styleLink w:val="WWNum9"/>
    <w:lvl w:ilvl="0">
      <w:numFmt w:val="bullet"/>
      <w:lvlText w:val=""/>
      <w:lvlJc w:val="left"/>
      <w:pPr>
        <w:ind w:left="360" w:hanging="360"/>
      </w:pPr>
      <w:rPr>
        <w:rFonts w:ascii="Symbol" w:hAnsi="Symbol"/>
        <w:color w:val="999999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Times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Times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Times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0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hdrShapeDefaults>
    <o:shapedefaults v:ext="edit" spidmax="2049" fill="f" fillcolor="white" stroke="f">
      <v:fill color="white" on="f"/>
      <v:stroke on="f"/>
      <o:colormru v:ext="edit" colors="#901a2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2455A"/>
    <w:rsid w:val="000A1C63"/>
    <w:rsid w:val="000C64AA"/>
    <w:rsid w:val="001C6DC5"/>
    <w:rsid w:val="00285BF5"/>
    <w:rsid w:val="00292DE3"/>
    <w:rsid w:val="002C0B7F"/>
    <w:rsid w:val="00394C7F"/>
    <w:rsid w:val="003C469C"/>
    <w:rsid w:val="00402958"/>
    <w:rsid w:val="00421A0D"/>
    <w:rsid w:val="0042574A"/>
    <w:rsid w:val="00435F6C"/>
    <w:rsid w:val="00471A89"/>
    <w:rsid w:val="0047421F"/>
    <w:rsid w:val="004A4EE0"/>
    <w:rsid w:val="004C0238"/>
    <w:rsid w:val="004E00C8"/>
    <w:rsid w:val="005629D7"/>
    <w:rsid w:val="005B1F04"/>
    <w:rsid w:val="005E46EB"/>
    <w:rsid w:val="005F71C7"/>
    <w:rsid w:val="00644372"/>
    <w:rsid w:val="006511EA"/>
    <w:rsid w:val="00666756"/>
    <w:rsid w:val="006D0771"/>
    <w:rsid w:val="0071184F"/>
    <w:rsid w:val="0071693E"/>
    <w:rsid w:val="007921AD"/>
    <w:rsid w:val="00815857"/>
    <w:rsid w:val="008163CE"/>
    <w:rsid w:val="00892F68"/>
    <w:rsid w:val="008A1F2A"/>
    <w:rsid w:val="00967D9C"/>
    <w:rsid w:val="00997E28"/>
    <w:rsid w:val="009E2664"/>
    <w:rsid w:val="009E4681"/>
    <w:rsid w:val="00A92F2F"/>
    <w:rsid w:val="00AA6105"/>
    <w:rsid w:val="00B16939"/>
    <w:rsid w:val="00B23521"/>
    <w:rsid w:val="00BD7F08"/>
    <w:rsid w:val="00C310C5"/>
    <w:rsid w:val="00C739BE"/>
    <w:rsid w:val="00C75F2A"/>
    <w:rsid w:val="00CC3543"/>
    <w:rsid w:val="00CD0D24"/>
    <w:rsid w:val="00D232DB"/>
    <w:rsid w:val="00D308EC"/>
    <w:rsid w:val="00DC3EA0"/>
    <w:rsid w:val="00F03E50"/>
    <w:rsid w:val="00F129AD"/>
    <w:rsid w:val="00F51C94"/>
    <w:rsid w:val="00F612D7"/>
    <w:rsid w:val="00F62BF4"/>
    <w:rsid w:val="00F83343"/>
    <w:rsid w:val="00FE241B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="f" fillcolor="white" stroke="f">
      <v:fill color="white" on="f"/>
      <v:stroke on="f"/>
      <o:colormru v:ext="edit" colors="#901a2a"/>
    </o:shapedefaults>
    <o:shapelayout v:ext="edit">
      <o:idmap v:ext="edit" data="1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Textbody"/>
    <w:link w:val="berschrift2Zchn"/>
    <w:uiPriority w:val="9"/>
    <w:unhideWhenUsed/>
    <w:qFormat/>
    <w:rsid w:val="00DC3EA0"/>
    <w:pPr>
      <w:keepNext/>
      <w:suppressAutoHyphens/>
      <w:autoSpaceDN w:val="0"/>
      <w:textAlignment w:val="baseline"/>
      <w:outlineLvl w:val="1"/>
    </w:pPr>
    <w:rPr>
      <w:rFonts w:ascii="Arial" w:eastAsia="Calibri" w:hAnsi="Arial" w:cs="Times New Roman"/>
      <w:b/>
      <w:color w:val="0000FF"/>
      <w:kern w:val="3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C3EA0"/>
    <w:rPr>
      <w:rFonts w:ascii="Arial" w:eastAsia="Calibri" w:hAnsi="Arial" w:cs="Times New Roman"/>
      <w:b/>
      <w:color w:val="0000FF"/>
      <w:kern w:val="3"/>
      <w:sz w:val="22"/>
      <w:szCs w:val="22"/>
      <w:lang w:eastAsia="en-US"/>
    </w:rPr>
  </w:style>
  <w:style w:type="paragraph" w:customStyle="1" w:styleId="Textbody">
    <w:name w:val="Text body"/>
    <w:basedOn w:val="Standard"/>
    <w:rsid w:val="00DC3EA0"/>
    <w:pPr>
      <w:suppressAutoHyphens/>
      <w:autoSpaceDN w:val="0"/>
      <w:textAlignment w:val="baseline"/>
    </w:pPr>
    <w:rPr>
      <w:rFonts w:ascii="Arial" w:eastAsia="Calibri" w:hAnsi="Arial" w:cs="Times New Roman"/>
      <w:b/>
      <w:color w:val="FF0000"/>
      <w:kern w:val="3"/>
      <w:sz w:val="22"/>
      <w:szCs w:val="22"/>
      <w:lang w:eastAsia="en-US"/>
    </w:rPr>
  </w:style>
  <w:style w:type="paragraph" w:styleId="Listenabsatz">
    <w:name w:val="List Paragraph"/>
    <w:basedOn w:val="Standard"/>
    <w:rsid w:val="00DC3EA0"/>
    <w:pPr>
      <w:suppressAutoHyphens/>
      <w:autoSpaceDN w:val="0"/>
      <w:spacing w:after="200" w:line="276" w:lineRule="auto"/>
      <w:ind w:left="720"/>
      <w:textAlignment w:val="baseline"/>
    </w:pPr>
    <w:rPr>
      <w:rFonts w:ascii="Calibri" w:eastAsia="SimSun" w:hAnsi="Calibri" w:cs="Tahoma"/>
      <w:kern w:val="3"/>
      <w:sz w:val="22"/>
      <w:szCs w:val="22"/>
      <w:lang w:eastAsia="en-US"/>
    </w:rPr>
  </w:style>
  <w:style w:type="numbering" w:customStyle="1" w:styleId="WWNum7">
    <w:name w:val="WWNum7"/>
    <w:basedOn w:val="KeineListe"/>
    <w:rsid w:val="00DC3EA0"/>
    <w:pPr>
      <w:numPr>
        <w:numId w:val="1"/>
      </w:numPr>
    </w:pPr>
  </w:style>
  <w:style w:type="numbering" w:customStyle="1" w:styleId="WWNum8">
    <w:name w:val="WWNum8"/>
    <w:basedOn w:val="KeineListe"/>
    <w:rsid w:val="00DC3EA0"/>
    <w:pPr>
      <w:numPr>
        <w:numId w:val="2"/>
      </w:numPr>
    </w:pPr>
  </w:style>
  <w:style w:type="numbering" w:customStyle="1" w:styleId="WWNum9">
    <w:name w:val="WWNum9"/>
    <w:basedOn w:val="KeineListe"/>
    <w:rsid w:val="00DC3EA0"/>
    <w:pPr>
      <w:numPr>
        <w:numId w:val="3"/>
      </w:numPr>
    </w:pPr>
  </w:style>
  <w:style w:type="numbering" w:customStyle="1" w:styleId="WWNum10">
    <w:name w:val="WWNum10"/>
    <w:basedOn w:val="KeineListe"/>
    <w:rsid w:val="00DC3EA0"/>
    <w:pPr>
      <w:numPr>
        <w:numId w:val="4"/>
      </w:numPr>
    </w:pPr>
  </w:style>
  <w:style w:type="numbering" w:customStyle="1" w:styleId="WWNum11">
    <w:name w:val="WWNum11"/>
    <w:basedOn w:val="KeineListe"/>
    <w:rsid w:val="00DC3EA0"/>
    <w:pPr>
      <w:numPr>
        <w:numId w:val="5"/>
      </w:numPr>
    </w:pPr>
  </w:style>
  <w:style w:type="numbering" w:customStyle="1" w:styleId="WWNum38">
    <w:name w:val="WWNum38"/>
    <w:basedOn w:val="KeineListe"/>
    <w:rsid w:val="00DC3EA0"/>
    <w:pPr>
      <w:numPr>
        <w:numId w:val="6"/>
      </w:numPr>
    </w:pPr>
  </w:style>
  <w:style w:type="numbering" w:customStyle="1" w:styleId="WWNum39">
    <w:name w:val="WWNum39"/>
    <w:basedOn w:val="KeineListe"/>
    <w:rsid w:val="00DC3EA0"/>
    <w:pPr>
      <w:numPr>
        <w:numId w:val="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B72B9F3-7FB5-4FB2-AD54-FBCEC8704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3412</Words>
  <Characters>21496</Characters>
  <Application>Microsoft Office Word</Application>
  <DocSecurity>0</DocSecurity>
  <Lines>179</Lines>
  <Paragraphs>49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24859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Weismantel</dc:creator>
  <cp:lastModifiedBy>Fanroth - C.C.Buchner Verlag</cp:lastModifiedBy>
  <cp:revision>2</cp:revision>
  <cp:lastPrinted>2019-05-03T09:27:00Z</cp:lastPrinted>
  <dcterms:created xsi:type="dcterms:W3CDTF">2021-01-29T09:05:00Z</dcterms:created>
  <dcterms:modified xsi:type="dcterms:W3CDTF">2021-01-29T09:05:00Z</dcterms:modified>
</cp:coreProperties>
</file>